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14D8" w:rsidRPr="00012B6D" w:rsidRDefault="002814D8" w:rsidP="002814D8">
      <w:pPr>
        <w:pStyle w:val="a3"/>
        <w:spacing w:before="320" w:line="322" w:lineRule="exact"/>
        <w:ind w:right="138"/>
        <w:jc w:val="right"/>
        <w:rPr>
          <w:b/>
          <w:bCs/>
          <w:lang w:val="en-US"/>
        </w:rPr>
      </w:pPr>
      <w:r w:rsidRPr="00012B6D">
        <w:rPr>
          <w:b/>
          <w:bCs/>
          <w:lang w:val="en-US"/>
        </w:rPr>
        <w:t>NCJSC KMU 7-2-03/1</w:t>
      </w:r>
    </w:p>
    <w:p w:rsidR="004343D6" w:rsidRDefault="004343D6" w:rsidP="004343D6">
      <w:pPr>
        <w:pStyle w:val="a3"/>
        <w:jc w:val="center"/>
        <w:rPr>
          <w:lang w:val="en-US"/>
        </w:rPr>
      </w:pPr>
    </w:p>
    <w:p w:rsidR="004343D6" w:rsidRPr="004343D6" w:rsidRDefault="004343D6" w:rsidP="004343D6">
      <w:pPr>
        <w:pStyle w:val="a3"/>
        <w:jc w:val="center"/>
        <w:rPr>
          <w:lang w:val="en-US"/>
        </w:rPr>
      </w:pPr>
      <w:r w:rsidRPr="004343D6">
        <w:rPr>
          <w:lang w:val="en-US"/>
        </w:rPr>
        <w:t>NON-COMMERCIAL JOINT-STOCK COMPANY</w:t>
      </w:r>
    </w:p>
    <w:p w:rsidR="00E20649" w:rsidRPr="00311F26" w:rsidRDefault="00311F26" w:rsidP="00311F26">
      <w:pPr>
        <w:pStyle w:val="a3"/>
        <w:ind w:left="0"/>
        <w:jc w:val="center"/>
        <w:rPr>
          <w:lang w:val="en-US"/>
        </w:rPr>
      </w:pPr>
      <w:r w:rsidRPr="00311F26">
        <w:rPr>
          <w:lang w:val="en-US"/>
        </w:rPr>
        <w:t>“Karaganda Medical University”</w:t>
      </w:r>
      <w:bookmarkStart w:id="0" w:name="_GoBack"/>
      <w:bookmarkEnd w:id="0"/>
    </w:p>
    <w:p w:rsidR="00E20649" w:rsidRPr="004343D6" w:rsidRDefault="00E20649">
      <w:pPr>
        <w:pStyle w:val="a3"/>
        <w:ind w:left="0"/>
        <w:jc w:val="left"/>
        <w:rPr>
          <w:lang w:val="en-US"/>
        </w:rPr>
      </w:pPr>
    </w:p>
    <w:p w:rsidR="00E20649" w:rsidRPr="004343D6" w:rsidRDefault="00E20649">
      <w:pPr>
        <w:pStyle w:val="a3"/>
        <w:ind w:left="0"/>
        <w:jc w:val="left"/>
        <w:rPr>
          <w:lang w:val="en-US"/>
        </w:rPr>
      </w:pPr>
    </w:p>
    <w:p w:rsidR="00E20649" w:rsidRPr="004343D6" w:rsidRDefault="00E20649">
      <w:pPr>
        <w:pStyle w:val="a3"/>
        <w:ind w:left="0"/>
        <w:jc w:val="left"/>
        <w:rPr>
          <w:lang w:val="en-US"/>
        </w:rPr>
      </w:pPr>
    </w:p>
    <w:p w:rsidR="00E20649" w:rsidRPr="004343D6" w:rsidRDefault="00E20649">
      <w:pPr>
        <w:pStyle w:val="a3"/>
        <w:spacing w:before="4"/>
        <w:ind w:left="0"/>
        <w:jc w:val="left"/>
        <w:rPr>
          <w:lang w:val="en-US"/>
        </w:rPr>
      </w:pPr>
    </w:p>
    <w:p w:rsidR="002814D8" w:rsidRDefault="002814D8" w:rsidP="002814D8">
      <w:pPr>
        <w:pStyle w:val="a3"/>
        <w:spacing w:before="6"/>
        <w:ind w:left="0"/>
        <w:jc w:val="center"/>
        <w:rPr>
          <w:b/>
          <w:bCs/>
          <w:spacing w:val="-2"/>
          <w:lang w:val="en-US"/>
        </w:rPr>
      </w:pPr>
      <w:r w:rsidRPr="002814D8">
        <w:rPr>
          <w:b/>
          <w:bCs/>
          <w:spacing w:val="-2"/>
          <w:lang w:val="en-US"/>
        </w:rPr>
        <w:t>ABSTRACT</w:t>
      </w:r>
    </w:p>
    <w:p w:rsidR="00012B6D" w:rsidRDefault="00012B6D" w:rsidP="002814D8">
      <w:pPr>
        <w:pStyle w:val="a3"/>
        <w:spacing w:before="6"/>
        <w:ind w:left="0"/>
        <w:jc w:val="center"/>
        <w:rPr>
          <w:b/>
          <w:bCs/>
          <w:spacing w:val="-2"/>
          <w:lang w:val="en-US"/>
        </w:rPr>
      </w:pPr>
    </w:p>
    <w:p w:rsidR="00E20649" w:rsidRDefault="002814D8" w:rsidP="002814D8">
      <w:pPr>
        <w:pStyle w:val="a3"/>
        <w:spacing w:before="6"/>
        <w:ind w:left="0"/>
        <w:jc w:val="center"/>
        <w:rPr>
          <w:b/>
          <w:bCs/>
          <w:spacing w:val="-2"/>
          <w:lang w:val="en-US"/>
        </w:rPr>
      </w:pPr>
      <w:r w:rsidRPr="002814D8">
        <w:rPr>
          <w:b/>
          <w:bCs/>
          <w:spacing w:val="-2"/>
          <w:lang w:val="en-US"/>
        </w:rPr>
        <w:t>of the dissertation submitted for the degree of Doctor of Philosophy (PhD)</w:t>
      </w:r>
    </w:p>
    <w:p w:rsidR="002814D8" w:rsidRPr="002814D8" w:rsidRDefault="002814D8" w:rsidP="002814D8">
      <w:pPr>
        <w:pStyle w:val="a3"/>
        <w:spacing w:before="6"/>
        <w:ind w:left="0"/>
        <w:jc w:val="center"/>
        <w:rPr>
          <w:lang w:val="en-US"/>
        </w:rPr>
      </w:pPr>
    </w:p>
    <w:p w:rsidR="004343D6" w:rsidRDefault="002814D8" w:rsidP="00497127">
      <w:pPr>
        <w:widowControl/>
        <w:autoSpaceDE/>
        <w:autoSpaceDN/>
        <w:jc w:val="center"/>
        <w:rPr>
          <w:rFonts w:eastAsia="Calibri"/>
          <w:b/>
          <w:sz w:val="28"/>
          <w:szCs w:val="28"/>
          <w:lang w:val="en-US"/>
        </w:rPr>
      </w:pPr>
      <w:r w:rsidRPr="002814D8">
        <w:rPr>
          <w:rFonts w:eastAsia="Calibri"/>
          <w:b/>
          <w:sz w:val="28"/>
          <w:szCs w:val="28"/>
          <w:lang w:val="en-US"/>
        </w:rPr>
        <w:t xml:space="preserve">Clinical and laboratory predictors of severe COVID-19 in patients with comorbidities, with pharmacoeconomic evaluation </w:t>
      </w:r>
    </w:p>
    <w:p w:rsidR="00497127" w:rsidRPr="002814D8" w:rsidRDefault="002814D8" w:rsidP="00497127">
      <w:pPr>
        <w:widowControl/>
        <w:autoSpaceDE/>
        <w:autoSpaceDN/>
        <w:jc w:val="center"/>
        <w:rPr>
          <w:rFonts w:eastAsia="Calibri"/>
          <w:b/>
          <w:sz w:val="28"/>
          <w:szCs w:val="28"/>
          <w:lang w:val="en-US"/>
        </w:rPr>
      </w:pPr>
      <w:r w:rsidRPr="002814D8">
        <w:rPr>
          <w:rFonts w:eastAsia="Calibri"/>
          <w:b/>
          <w:sz w:val="28"/>
          <w:szCs w:val="28"/>
          <w:lang w:val="en-US"/>
        </w:rPr>
        <w:t>of therapy and optimization of dynamic monitoring</w:t>
      </w:r>
    </w:p>
    <w:p w:rsidR="00497127" w:rsidRPr="002814D8" w:rsidRDefault="00497127" w:rsidP="00497127">
      <w:pPr>
        <w:widowControl/>
        <w:autoSpaceDE/>
        <w:autoSpaceDN/>
        <w:jc w:val="center"/>
        <w:rPr>
          <w:rFonts w:eastAsia="Calibri"/>
          <w:sz w:val="28"/>
          <w:szCs w:val="28"/>
          <w:lang w:val="en-US"/>
        </w:rPr>
      </w:pPr>
    </w:p>
    <w:p w:rsidR="00E20649" w:rsidRPr="002D785A" w:rsidRDefault="00497127" w:rsidP="002D785A">
      <w:pPr>
        <w:widowControl/>
        <w:autoSpaceDE/>
        <w:autoSpaceDN/>
        <w:jc w:val="center"/>
        <w:rPr>
          <w:lang w:val="en-US"/>
        </w:rPr>
      </w:pPr>
      <w:r w:rsidRPr="002814D8">
        <w:rPr>
          <w:rFonts w:eastAsia="Calibri"/>
          <w:sz w:val="28"/>
          <w:szCs w:val="28"/>
          <w:lang w:val="en-US"/>
        </w:rPr>
        <w:t xml:space="preserve"> </w:t>
      </w:r>
      <w:r w:rsidR="002D785A" w:rsidRPr="002D785A">
        <w:rPr>
          <w:rFonts w:eastAsia="Calibri"/>
          <w:sz w:val="28"/>
          <w:szCs w:val="28"/>
          <w:lang w:val="en-US"/>
        </w:rPr>
        <w:t>Doctoral Educational Program 8D10100 «Medicine»</w:t>
      </w:r>
    </w:p>
    <w:p w:rsidR="00E20649" w:rsidRPr="002D785A" w:rsidRDefault="00E20649">
      <w:pPr>
        <w:pStyle w:val="a3"/>
        <w:ind w:left="0"/>
        <w:jc w:val="left"/>
        <w:rPr>
          <w:lang w:val="en-US"/>
        </w:rPr>
      </w:pPr>
    </w:p>
    <w:p w:rsidR="00E20649" w:rsidRPr="002D785A" w:rsidRDefault="00E20649">
      <w:pPr>
        <w:pStyle w:val="a3"/>
        <w:ind w:left="0"/>
        <w:jc w:val="left"/>
        <w:rPr>
          <w:lang w:val="en-US"/>
        </w:rPr>
      </w:pPr>
    </w:p>
    <w:p w:rsidR="00E20649" w:rsidRPr="002D785A" w:rsidRDefault="00E20649">
      <w:pPr>
        <w:pStyle w:val="a3"/>
        <w:ind w:left="0"/>
        <w:jc w:val="left"/>
        <w:rPr>
          <w:lang w:val="en-US"/>
        </w:rPr>
      </w:pPr>
    </w:p>
    <w:p w:rsidR="00E20649" w:rsidRPr="002D785A" w:rsidRDefault="00E20649">
      <w:pPr>
        <w:pStyle w:val="a3"/>
        <w:ind w:left="0"/>
        <w:jc w:val="left"/>
        <w:rPr>
          <w:lang w:val="en-US"/>
        </w:rPr>
      </w:pPr>
    </w:p>
    <w:p w:rsidR="00893050" w:rsidRPr="00893050" w:rsidRDefault="002D785A" w:rsidP="00893050">
      <w:pPr>
        <w:adjustRightInd w:val="0"/>
        <w:ind w:left="4962"/>
        <w:jc w:val="both"/>
        <w:rPr>
          <w:rFonts w:eastAsia="Calibri"/>
          <w:b/>
          <w:color w:val="000000"/>
          <w:sz w:val="28"/>
          <w:szCs w:val="28"/>
          <w:lang w:val="en-US"/>
        </w:rPr>
      </w:pPr>
      <w:r>
        <w:rPr>
          <w:rFonts w:eastAsia="Calibri"/>
          <w:b/>
          <w:lang w:val="en-US"/>
        </w:rPr>
        <w:t xml:space="preserve">                                                     </w:t>
      </w:r>
      <w:r w:rsidR="00893050" w:rsidRPr="00893050">
        <w:rPr>
          <w:rFonts w:eastAsia="Calibri"/>
          <w:b/>
          <w:lang w:val="en-US"/>
        </w:rPr>
        <w:t xml:space="preserve">              </w:t>
      </w:r>
      <w:r w:rsidR="00893050" w:rsidRPr="00893050">
        <w:rPr>
          <w:rFonts w:eastAsia="Calibri"/>
          <w:b/>
          <w:bCs/>
          <w:color w:val="000000"/>
          <w:sz w:val="28"/>
          <w:szCs w:val="28"/>
          <w:lang w:val="en-US"/>
        </w:rPr>
        <w:t xml:space="preserve">Scientific consultants: </w:t>
      </w:r>
    </w:p>
    <w:p w:rsidR="002D785A" w:rsidRPr="002D785A" w:rsidRDefault="002D785A" w:rsidP="00893050">
      <w:pPr>
        <w:pStyle w:val="a3"/>
        <w:ind w:left="4962"/>
        <w:rPr>
          <w:rFonts w:eastAsia="Calibri"/>
          <w:lang w:val="en-US"/>
        </w:rPr>
      </w:pPr>
      <w:r w:rsidRPr="002D785A">
        <w:rPr>
          <w:rFonts w:eastAsia="Calibri"/>
          <w:lang w:val="en-US"/>
        </w:rPr>
        <w:t>Doctor of Medical Sciences, Professor</w:t>
      </w:r>
    </w:p>
    <w:p w:rsidR="00012B6D" w:rsidRDefault="00012B6D" w:rsidP="00893050">
      <w:pPr>
        <w:pStyle w:val="a3"/>
        <w:ind w:left="4962"/>
        <w:rPr>
          <w:rFonts w:eastAsia="Calibri"/>
          <w:bCs/>
          <w:lang w:val="en-US"/>
        </w:rPr>
      </w:pPr>
      <w:r w:rsidRPr="00012B6D">
        <w:rPr>
          <w:rFonts w:eastAsia="Calibri"/>
          <w:bCs/>
          <w:lang w:val="en-US"/>
        </w:rPr>
        <w:t xml:space="preserve">Bakhyt Nurgaliyevna Kosherova </w:t>
      </w:r>
    </w:p>
    <w:p w:rsidR="00893050" w:rsidRDefault="00893050" w:rsidP="00893050">
      <w:pPr>
        <w:pStyle w:val="a3"/>
        <w:ind w:left="4962"/>
        <w:rPr>
          <w:rFonts w:eastAsia="Calibri"/>
          <w:lang w:val="en-US"/>
        </w:rPr>
      </w:pPr>
    </w:p>
    <w:p w:rsidR="002D785A" w:rsidRPr="002D785A" w:rsidRDefault="002D785A" w:rsidP="00893050">
      <w:pPr>
        <w:pStyle w:val="a3"/>
        <w:ind w:left="4962"/>
        <w:rPr>
          <w:rFonts w:eastAsia="Calibri"/>
          <w:lang w:val="en-US"/>
        </w:rPr>
      </w:pPr>
      <w:r w:rsidRPr="002D785A">
        <w:rPr>
          <w:rFonts w:eastAsia="Calibri"/>
          <w:lang w:val="en-US"/>
        </w:rPr>
        <w:t>PhD, Associate Professor</w:t>
      </w:r>
    </w:p>
    <w:p w:rsidR="00012B6D" w:rsidRDefault="00012B6D" w:rsidP="00893050">
      <w:pPr>
        <w:pStyle w:val="a3"/>
        <w:ind w:left="4962"/>
        <w:rPr>
          <w:rFonts w:eastAsia="Calibri"/>
          <w:bCs/>
          <w:lang w:val="en-US"/>
        </w:rPr>
      </w:pPr>
      <w:r w:rsidRPr="00012B6D">
        <w:rPr>
          <w:rFonts w:eastAsia="Calibri"/>
          <w:bCs/>
          <w:lang w:val="en-US"/>
        </w:rPr>
        <w:t xml:space="preserve">Yerzhan Seypolovich Zhunussov </w:t>
      </w:r>
    </w:p>
    <w:p w:rsidR="00893050" w:rsidRDefault="00893050" w:rsidP="00893050">
      <w:pPr>
        <w:pStyle w:val="a3"/>
        <w:ind w:left="4962"/>
        <w:rPr>
          <w:rFonts w:eastAsia="Calibri"/>
          <w:bCs/>
          <w:lang w:val="en-US"/>
        </w:rPr>
      </w:pPr>
    </w:p>
    <w:p w:rsidR="00893050" w:rsidRPr="00893050" w:rsidRDefault="00893050" w:rsidP="00893050">
      <w:pPr>
        <w:widowControl/>
        <w:autoSpaceDE/>
        <w:autoSpaceDN/>
        <w:ind w:left="4962"/>
        <w:jc w:val="both"/>
        <w:rPr>
          <w:rFonts w:eastAsia="Calibri"/>
          <w:sz w:val="28"/>
          <w:szCs w:val="28"/>
          <w:lang w:val="en-US"/>
        </w:rPr>
      </w:pPr>
      <w:r>
        <w:rPr>
          <w:rFonts w:eastAsia="Calibri"/>
          <w:b/>
          <w:sz w:val="28"/>
          <w:szCs w:val="28"/>
          <w:lang w:val="en-US"/>
        </w:rPr>
        <w:t xml:space="preserve">                                                     </w:t>
      </w:r>
      <w:r w:rsidRPr="00893050">
        <w:rPr>
          <w:rFonts w:eastAsia="Calibri"/>
          <w:b/>
          <w:sz w:val="28"/>
          <w:szCs w:val="28"/>
          <w:lang w:val="en-US"/>
        </w:rPr>
        <w:t>Foreign scientific consultant:</w:t>
      </w:r>
      <w:r w:rsidRPr="00893050">
        <w:rPr>
          <w:rFonts w:eastAsia="Calibri"/>
          <w:sz w:val="28"/>
          <w:szCs w:val="28"/>
          <w:lang w:val="en-US"/>
        </w:rPr>
        <w:t xml:space="preserve"> </w:t>
      </w:r>
    </w:p>
    <w:p w:rsidR="00E20649" w:rsidRPr="00012B6D" w:rsidRDefault="002D785A" w:rsidP="00893050">
      <w:pPr>
        <w:pStyle w:val="a3"/>
        <w:ind w:left="4962"/>
        <w:rPr>
          <w:lang w:val="en-US"/>
        </w:rPr>
      </w:pPr>
      <w:r w:rsidRPr="002D785A">
        <w:rPr>
          <w:rFonts w:eastAsia="Calibri"/>
          <w:lang w:val="en-US"/>
        </w:rPr>
        <w:t>Doctor of Medical Sciences, Associate Professor</w:t>
      </w:r>
      <w:r w:rsidR="00893050" w:rsidRPr="00893050">
        <w:rPr>
          <w:rFonts w:eastAsia="Calibri"/>
          <w:lang w:val="en-US"/>
        </w:rPr>
        <w:t xml:space="preserve"> </w:t>
      </w:r>
      <w:r w:rsidR="00893050" w:rsidRPr="00893050">
        <w:rPr>
          <w:rFonts w:eastAsia="Calibri"/>
          <w:bCs/>
          <w:lang w:val="en-US"/>
        </w:rPr>
        <w:t>Gheorghe Petrovich Placinta</w:t>
      </w:r>
    </w:p>
    <w:p w:rsidR="00E20649" w:rsidRPr="00012B6D" w:rsidRDefault="00E20649" w:rsidP="00893050">
      <w:pPr>
        <w:pStyle w:val="a3"/>
        <w:ind w:left="0"/>
        <w:jc w:val="left"/>
        <w:rPr>
          <w:lang w:val="en-US"/>
        </w:rPr>
      </w:pPr>
    </w:p>
    <w:p w:rsidR="00E20649" w:rsidRPr="00012B6D" w:rsidRDefault="00E20649">
      <w:pPr>
        <w:pStyle w:val="a3"/>
        <w:ind w:left="0"/>
        <w:jc w:val="left"/>
        <w:rPr>
          <w:lang w:val="en-US"/>
        </w:rPr>
      </w:pPr>
    </w:p>
    <w:p w:rsidR="00E20649" w:rsidRPr="00012B6D" w:rsidRDefault="00E20649">
      <w:pPr>
        <w:pStyle w:val="a3"/>
        <w:ind w:left="0"/>
        <w:jc w:val="left"/>
        <w:rPr>
          <w:lang w:val="en-US"/>
        </w:rPr>
      </w:pPr>
    </w:p>
    <w:p w:rsidR="00E20649" w:rsidRPr="00012B6D" w:rsidRDefault="00E20649">
      <w:pPr>
        <w:pStyle w:val="a3"/>
        <w:spacing w:before="1"/>
        <w:ind w:left="0"/>
        <w:jc w:val="left"/>
        <w:rPr>
          <w:lang w:val="en-US"/>
        </w:rPr>
      </w:pPr>
    </w:p>
    <w:p w:rsidR="001763C1" w:rsidRPr="00012B6D" w:rsidRDefault="001763C1">
      <w:pPr>
        <w:pStyle w:val="a3"/>
        <w:ind w:left="0" w:right="134"/>
        <w:jc w:val="center"/>
        <w:rPr>
          <w:lang w:val="en-US"/>
        </w:rPr>
      </w:pPr>
    </w:p>
    <w:p w:rsidR="001763C1" w:rsidRPr="00012B6D" w:rsidRDefault="001763C1">
      <w:pPr>
        <w:pStyle w:val="a3"/>
        <w:ind w:left="0" w:right="134"/>
        <w:jc w:val="center"/>
        <w:rPr>
          <w:lang w:val="en-US"/>
        </w:rPr>
      </w:pPr>
    </w:p>
    <w:p w:rsidR="001763C1" w:rsidRPr="00012B6D" w:rsidRDefault="001763C1">
      <w:pPr>
        <w:pStyle w:val="a3"/>
        <w:ind w:left="0" w:right="134"/>
        <w:jc w:val="center"/>
        <w:rPr>
          <w:lang w:val="en-US"/>
        </w:rPr>
      </w:pPr>
    </w:p>
    <w:p w:rsidR="002D785A" w:rsidRPr="00012B6D" w:rsidRDefault="002D785A">
      <w:pPr>
        <w:pStyle w:val="a3"/>
        <w:jc w:val="center"/>
        <w:rPr>
          <w:lang w:val="en-US"/>
        </w:rPr>
      </w:pPr>
    </w:p>
    <w:p w:rsidR="002D785A" w:rsidRPr="00012B6D" w:rsidRDefault="002D785A">
      <w:pPr>
        <w:pStyle w:val="a3"/>
        <w:jc w:val="center"/>
        <w:rPr>
          <w:lang w:val="en-US"/>
        </w:rPr>
      </w:pPr>
    </w:p>
    <w:p w:rsidR="00E20649" w:rsidRPr="002D785A" w:rsidRDefault="00893050">
      <w:pPr>
        <w:pStyle w:val="a3"/>
        <w:jc w:val="center"/>
        <w:rPr>
          <w:lang w:val="en-US"/>
        </w:rPr>
        <w:sectPr w:rsidR="00E20649" w:rsidRPr="002D785A" w:rsidSect="001763C1">
          <w:type w:val="continuous"/>
          <w:pgSz w:w="11900" w:h="16850"/>
          <w:pgMar w:top="1134" w:right="708" w:bottom="1134" w:left="1700" w:header="720" w:footer="720" w:gutter="0"/>
          <w:cols w:space="720"/>
        </w:sectPr>
      </w:pPr>
      <w:r>
        <w:rPr>
          <w:lang w:val="en-US"/>
        </w:rPr>
        <w:t>K</w:t>
      </w:r>
      <w:r w:rsidR="002D785A" w:rsidRPr="002D785A">
        <w:rPr>
          <w:lang w:val="en-US"/>
        </w:rPr>
        <w:t>araganda, 2026</w:t>
      </w:r>
    </w:p>
    <w:p w:rsidR="002D785A" w:rsidRPr="002D785A" w:rsidRDefault="002D785A" w:rsidP="002D785A">
      <w:pPr>
        <w:widowControl/>
        <w:tabs>
          <w:tab w:val="left" w:pos="993"/>
        </w:tabs>
        <w:autoSpaceDE/>
        <w:autoSpaceDN/>
        <w:jc w:val="both"/>
        <w:rPr>
          <w:b/>
          <w:bCs/>
          <w:sz w:val="28"/>
          <w:szCs w:val="28"/>
          <w:lang w:val="en-US"/>
        </w:rPr>
      </w:pPr>
      <w:r w:rsidRPr="002D785A">
        <w:rPr>
          <w:b/>
          <w:bCs/>
          <w:sz w:val="28"/>
          <w:szCs w:val="28"/>
          <w:lang w:val="en-US"/>
        </w:rPr>
        <w:lastRenderedPageBreak/>
        <w:t>Relevance of the Study</w:t>
      </w:r>
    </w:p>
    <w:p w:rsidR="002D785A" w:rsidRDefault="002D785A" w:rsidP="002D785A">
      <w:pPr>
        <w:widowControl/>
        <w:tabs>
          <w:tab w:val="left" w:pos="993"/>
        </w:tabs>
        <w:autoSpaceDE/>
        <w:autoSpaceDN/>
        <w:jc w:val="both"/>
        <w:rPr>
          <w:bCs/>
          <w:sz w:val="28"/>
          <w:szCs w:val="28"/>
          <w:lang w:val="en-US"/>
        </w:rPr>
      </w:pPr>
    </w:p>
    <w:p w:rsidR="004343D6" w:rsidRPr="004343D6" w:rsidRDefault="002D785A" w:rsidP="002D785A">
      <w:pPr>
        <w:widowControl/>
        <w:tabs>
          <w:tab w:val="left" w:pos="993"/>
        </w:tabs>
        <w:autoSpaceDE/>
        <w:autoSpaceDN/>
        <w:jc w:val="both"/>
        <w:rPr>
          <w:bCs/>
          <w:sz w:val="28"/>
          <w:szCs w:val="28"/>
          <w:lang w:val="en-US"/>
        </w:rPr>
      </w:pPr>
      <w:r>
        <w:rPr>
          <w:bCs/>
          <w:sz w:val="28"/>
          <w:szCs w:val="28"/>
          <w:lang w:val="en-US"/>
        </w:rPr>
        <w:tab/>
      </w:r>
      <w:r w:rsidRPr="002D785A">
        <w:rPr>
          <w:bCs/>
          <w:sz w:val="28"/>
          <w:szCs w:val="28"/>
          <w:lang w:val="en-US"/>
        </w:rPr>
        <w:t xml:space="preserve">Despite the official declaration of the end of the pandemic, coronavirus infection (COVID-19), caused by SARS-CoV-2, continues to retain high medical, social, and clinical significance in 2024–2025. </w:t>
      </w:r>
      <w:r w:rsidR="004343D6" w:rsidRPr="004343D6">
        <w:rPr>
          <w:bCs/>
          <w:sz w:val="28"/>
          <w:szCs w:val="28"/>
          <w:lang w:val="en-US"/>
        </w:rPr>
        <w:t>This is attributable to continued viral circulation, the emergence of new variants with increased transmissibility, a rising incidence of reinfections, and the development of long-term complications that exert sustained adverse effects on patient health [1–4].</w:t>
      </w:r>
    </w:p>
    <w:p w:rsidR="002D785A" w:rsidRPr="002D785A" w:rsidRDefault="002D785A" w:rsidP="002D785A">
      <w:pPr>
        <w:widowControl/>
        <w:tabs>
          <w:tab w:val="left" w:pos="993"/>
        </w:tabs>
        <w:autoSpaceDE/>
        <w:autoSpaceDN/>
        <w:jc w:val="both"/>
        <w:rPr>
          <w:bCs/>
          <w:sz w:val="28"/>
          <w:szCs w:val="28"/>
          <w:lang w:val="en-US"/>
        </w:rPr>
      </w:pPr>
      <w:r>
        <w:rPr>
          <w:bCs/>
          <w:sz w:val="28"/>
          <w:szCs w:val="28"/>
          <w:lang w:val="en-US"/>
        </w:rPr>
        <w:tab/>
      </w:r>
      <w:r w:rsidRPr="002D785A">
        <w:rPr>
          <w:bCs/>
          <w:sz w:val="28"/>
          <w:szCs w:val="28"/>
          <w:lang w:val="en-US"/>
        </w:rPr>
        <w:t>The COVID-19 pandemic has had a profound impact on global healthcare systems and demographic indicators. According to the World Health Organization (WHO), as of November 2025, the cumulative number of confirmed deaths associated with COVID-19 since the beginning of the pandemic exceeds 7 million worldwide [5]. High mortality rates and the substantial burden on healthcare systems necessitated a revision of clinical and organizational approaches to patient management, particularly in individuals with comorbid conditions [5].</w:t>
      </w:r>
    </w:p>
    <w:p w:rsidR="002D785A" w:rsidRPr="002D785A" w:rsidRDefault="002D785A" w:rsidP="002D785A">
      <w:pPr>
        <w:widowControl/>
        <w:tabs>
          <w:tab w:val="left" w:pos="993"/>
        </w:tabs>
        <w:autoSpaceDE/>
        <w:autoSpaceDN/>
        <w:jc w:val="both"/>
        <w:rPr>
          <w:bCs/>
          <w:sz w:val="28"/>
          <w:szCs w:val="28"/>
          <w:lang w:val="en-US"/>
        </w:rPr>
      </w:pPr>
      <w:r>
        <w:rPr>
          <w:bCs/>
          <w:sz w:val="28"/>
          <w:szCs w:val="28"/>
          <w:lang w:val="en-US"/>
        </w:rPr>
        <w:tab/>
      </w:r>
      <w:r w:rsidRPr="002D785A">
        <w:rPr>
          <w:bCs/>
          <w:sz w:val="28"/>
          <w:szCs w:val="28"/>
          <w:lang w:val="en-US"/>
        </w:rPr>
        <w:t>The clinical course of COVID-19 is characterized by marked variability, ranging from asymptomatic infection to severe and critical illness accompanied by progressive respiratory failure requiring intensive care. The greatest clinical and prognostic significance is observed in patients with comorbidities, in whom COVID-19 frequently follows a severe course. Numerous national and international studies have demonstrated that the presence of arterial hypertension, type 2 diabetes mellitus, obesity, cardiovascular and cerebrovascular diseases, chronic kidney disease, and malignancies is significantly associated with an increased risk of severe COVID-19 and mortality [6–13].</w:t>
      </w:r>
    </w:p>
    <w:p w:rsidR="002D785A" w:rsidRPr="002D785A" w:rsidRDefault="002D785A" w:rsidP="002D785A">
      <w:pPr>
        <w:widowControl/>
        <w:tabs>
          <w:tab w:val="left" w:pos="993"/>
        </w:tabs>
        <w:autoSpaceDE/>
        <w:autoSpaceDN/>
        <w:jc w:val="both"/>
        <w:rPr>
          <w:bCs/>
          <w:sz w:val="28"/>
          <w:szCs w:val="28"/>
          <w:lang w:val="en-US"/>
        </w:rPr>
      </w:pPr>
      <w:r>
        <w:rPr>
          <w:bCs/>
          <w:sz w:val="28"/>
          <w:szCs w:val="28"/>
          <w:lang w:val="en-US"/>
        </w:rPr>
        <w:tab/>
      </w:r>
      <w:r w:rsidRPr="002D785A">
        <w:rPr>
          <w:bCs/>
          <w:sz w:val="28"/>
          <w:szCs w:val="28"/>
          <w:lang w:val="en-US"/>
        </w:rPr>
        <w:t>According to contemporary systematic reviews and meta-analyses, type 2 diabetes mellitus, arterial hypertension, and obesity are reliably associated with an elevated risk of severe disease and death. In particular, in patients with diabetes, the relative risk of mortality increases by approximately 1.5–2 times compared with individuals without diabetes, while multimorbidity further amplifies the probability of adverse outcomes [14,15].</w:t>
      </w:r>
    </w:p>
    <w:p w:rsidR="002D785A" w:rsidRPr="002D785A" w:rsidRDefault="002D785A" w:rsidP="002D785A">
      <w:pPr>
        <w:widowControl/>
        <w:tabs>
          <w:tab w:val="left" w:pos="993"/>
        </w:tabs>
        <w:autoSpaceDE/>
        <w:autoSpaceDN/>
        <w:jc w:val="both"/>
        <w:rPr>
          <w:bCs/>
          <w:sz w:val="28"/>
          <w:szCs w:val="28"/>
          <w:lang w:val="en-US"/>
        </w:rPr>
      </w:pPr>
      <w:r>
        <w:rPr>
          <w:bCs/>
          <w:sz w:val="28"/>
          <w:szCs w:val="28"/>
          <w:lang w:val="en-US"/>
        </w:rPr>
        <w:tab/>
      </w:r>
      <w:r w:rsidRPr="002D785A">
        <w:rPr>
          <w:bCs/>
          <w:sz w:val="28"/>
          <w:szCs w:val="28"/>
          <w:lang w:val="en-US"/>
        </w:rPr>
        <w:t>The pathogenesis of severe COVID-19 involves viral pneumonia, activation of the systemic inflammatory response, coagulation disorders, and the development of multiple organ dysfunction [16–17]. Age plays a critical role in predicting unfavorable outcomes. According to the global systematic review by Booth et al., individuals over 70 years of age demonstrate more than a threefold increase in mortality risk (OR = 3.61; 95% CI: 2.70–4.84) [18].</w:t>
      </w:r>
    </w:p>
    <w:p w:rsidR="002D785A" w:rsidRPr="002D785A" w:rsidRDefault="002D785A" w:rsidP="002D785A">
      <w:pPr>
        <w:widowControl/>
        <w:tabs>
          <w:tab w:val="left" w:pos="993"/>
        </w:tabs>
        <w:autoSpaceDE/>
        <w:autoSpaceDN/>
        <w:jc w:val="both"/>
        <w:rPr>
          <w:bCs/>
          <w:sz w:val="28"/>
          <w:szCs w:val="28"/>
          <w:lang w:val="en-US"/>
        </w:rPr>
      </w:pPr>
      <w:r>
        <w:rPr>
          <w:bCs/>
          <w:sz w:val="28"/>
          <w:szCs w:val="28"/>
          <w:lang w:val="en-US"/>
        </w:rPr>
        <w:tab/>
      </w:r>
      <w:r w:rsidRPr="002D785A">
        <w:rPr>
          <w:bCs/>
          <w:sz w:val="28"/>
          <w:szCs w:val="28"/>
          <w:lang w:val="en-US"/>
        </w:rPr>
        <w:t>A central mechanism in severe COVID-19 is the development of a cytokine storm — an excessive immune response characterized by hypercytokinemia, systemic inflammation, and multi-organ dysfunction [18]. This process is particularly common among elderly patients and those with comorbidities; however, pronounced hypercytokinemia may also occur in individuals without underlying diseases, highlighting the universal nature of this pathogenic mechanism [19,20].</w:t>
      </w:r>
    </w:p>
    <w:p w:rsidR="002D785A" w:rsidRPr="002D785A" w:rsidRDefault="002D785A" w:rsidP="002D785A">
      <w:pPr>
        <w:widowControl/>
        <w:tabs>
          <w:tab w:val="left" w:pos="993"/>
        </w:tabs>
        <w:autoSpaceDE/>
        <w:autoSpaceDN/>
        <w:jc w:val="both"/>
        <w:rPr>
          <w:bCs/>
          <w:sz w:val="28"/>
          <w:szCs w:val="28"/>
          <w:lang w:val="en-US"/>
        </w:rPr>
      </w:pPr>
      <w:r>
        <w:rPr>
          <w:bCs/>
          <w:sz w:val="28"/>
          <w:szCs w:val="28"/>
          <w:lang w:val="en-US"/>
        </w:rPr>
        <w:tab/>
      </w:r>
      <w:r w:rsidRPr="002D785A">
        <w:rPr>
          <w:bCs/>
          <w:sz w:val="28"/>
          <w:szCs w:val="28"/>
          <w:lang w:val="en-US"/>
        </w:rPr>
        <w:t xml:space="preserve">In addition to clinical consequences, COVID-19 is associated with a substantial economic burden. The presence of comorbid conditions increases healthcare expenditures due to prolonged hospitalization, a higher need for intensive </w:t>
      </w:r>
      <w:r w:rsidRPr="002D785A">
        <w:rPr>
          <w:bCs/>
          <w:sz w:val="28"/>
          <w:szCs w:val="28"/>
          <w:lang w:val="en-US"/>
        </w:rPr>
        <w:lastRenderedPageBreak/>
        <w:t>care, and the use of costly medications, including genetically engineered biological agents and antiviral drugs. Comorbidity is associated not only with increased economic costs but also with more severe clinical progression and higher mortality. According to Molochkov et al. (2020), the presence of at least one comorbid condition increased in-hospital mortality from 9.4% to 13.9%, and in cases of multimorbidity — up to 24.8% [13].</w:t>
      </w:r>
    </w:p>
    <w:p w:rsidR="002D785A" w:rsidRPr="002D785A" w:rsidRDefault="002D785A" w:rsidP="002D785A">
      <w:pPr>
        <w:widowControl/>
        <w:tabs>
          <w:tab w:val="left" w:pos="993"/>
        </w:tabs>
        <w:autoSpaceDE/>
        <w:autoSpaceDN/>
        <w:jc w:val="both"/>
        <w:rPr>
          <w:bCs/>
          <w:sz w:val="28"/>
          <w:szCs w:val="28"/>
          <w:lang w:val="en-US"/>
        </w:rPr>
      </w:pPr>
      <w:r>
        <w:rPr>
          <w:bCs/>
          <w:sz w:val="28"/>
          <w:szCs w:val="28"/>
          <w:lang w:val="en-US"/>
        </w:rPr>
        <w:tab/>
      </w:r>
      <w:r w:rsidRPr="002D785A">
        <w:rPr>
          <w:bCs/>
          <w:sz w:val="28"/>
          <w:szCs w:val="28"/>
          <w:lang w:val="en-US"/>
        </w:rPr>
        <w:t>Similar findings have been reported in other national and international studies, demonstrating that cardiovascular diseases, type 2 diabetes mellitus, obesity, chronic kidney disease, oncological disorders, and their combinations are significantly associated with severe COVID-19, intensive care unit admission, and increased mortality [21–24].</w:t>
      </w:r>
    </w:p>
    <w:p w:rsidR="002D785A" w:rsidRPr="002D785A" w:rsidRDefault="002D785A" w:rsidP="002D785A">
      <w:pPr>
        <w:widowControl/>
        <w:tabs>
          <w:tab w:val="left" w:pos="993"/>
        </w:tabs>
        <w:autoSpaceDE/>
        <w:autoSpaceDN/>
        <w:jc w:val="both"/>
        <w:rPr>
          <w:bCs/>
          <w:sz w:val="28"/>
          <w:szCs w:val="28"/>
          <w:lang w:val="en-US"/>
        </w:rPr>
      </w:pPr>
      <w:r>
        <w:rPr>
          <w:bCs/>
          <w:sz w:val="28"/>
          <w:szCs w:val="28"/>
          <w:lang w:val="en-US"/>
        </w:rPr>
        <w:tab/>
      </w:r>
      <w:r w:rsidRPr="002D785A">
        <w:rPr>
          <w:bCs/>
          <w:sz w:val="28"/>
          <w:szCs w:val="28"/>
          <w:lang w:val="en-US"/>
        </w:rPr>
        <w:t>The high clinical and prognostic risk observed in comorbid patients, the complexity of disease management, frequent transfers to intensive care units, and substantial economic costs underscore the need for comprehensive research in this population. In the Republic of Kazakhstan, there remains a limited number of studies simultaneously addressing clinical and laboratory characteristics, prognostic markers, pharmacoeconomic aspects of therapy, and the development of optimized dynamic monitoring algorithms for comorbid patients with COVID-19. This gap determines the relevance of the present dissertation research.</w:t>
      </w:r>
    </w:p>
    <w:p w:rsidR="002D785A" w:rsidRPr="002D785A" w:rsidRDefault="002D785A" w:rsidP="002D785A">
      <w:pPr>
        <w:widowControl/>
        <w:tabs>
          <w:tab w:val="left" w:pos="993"/>
        </w:tabs>
        <w:autoSpaceDE/>
        <w:autoSpaceDN/>
        <w:jc w:val="both"/>
        <w:rPr>
          <w:b/>
          <w:bCs/>
          <w:sz w:val="28"/>
          <w:szCs w:val="28"/>
          <w:lang w:val="en-US"/>
        </w:rPr>
      </w:pPr>
      <w:r w:rsidRPr="002D785A">
        <w:rPr>
          <w:b/>
          <w:bCs/>
          <w:sz w:val="28"/>
          <w:szCs w:val="28"/>
          <w:lang w:val="en-US"/>
        </w:rPr>
        <w:t>Research Hypothesis</w:t>
      </w:r>
    </w:p>
    <w:p w:rsidR="002D785A" w:rsidRPr="002D785A" w:rsidRDefault="002D785A" w:rsidP="002D785A">
      <w:pPr>
        <w:widowControl/>
        <w:tabs>
          <w:tab w:val="left" w:pos="993"/>
        </w:tabs>
        <w:autoSpaceDE/>
        <w:autoSpaceDN/>
        <w:jc w:val="both"/>
        <w:rPr>
          <w:bCs/>
          <w:sz w:val="28"/>
          <w:szCs w:val="28"/>
          <w:lang w:val="en-US"/>
        </w:rPr>
      </w:pPr>
      <w:r w:rsidRPr="002D785A">
        <w:rPr>
          <w:bCs/>
          <w:sz w:val="28"/>
          <w:szCs w:val="28"/>
          <w:lang w:val="en-US"/>
        </w:rPr>
        <w:t>It is hypothesized that in comorbid patients with COVID-19, the combination of clinical and laboratory parameters and their dynamic changes during treatment allow for the identification of independent predictors of severe disease and adverse outcomes. The integration of these prognostic factors with pharmacoeconomic analysis of therapeutic regimens provides a scientific basis for optimizing clinical and organizational approaches to patient management, including the development of dynamic outpatient monitoring algorithms.</w:t>
      </w:r>
    </w:p>
    <w:p w:rsidR="002D785A" w:rsidRPr="002D785A" w:rsidRDefault="002D785A" w:rsidP="002D785A">
      <w:pPr>
        <w:widowControl/>
        <w:tabs>
          <w:tab w:val="left" w:pos="993"/>
        </w:tabs>
        <w:autoSpaceDE/>
        <w:autoSpaceDN/>
        <w:jc w:val="both"/>
        <w:rPr>
          <w:b/>
          <w:bCs/>
          <w:sz w:val="28"/>
          <w:szCs w:val="28"/>
          <w:lang w:val="en-US"/>
        </w:rPr>
      </w:pPr>
      <w:r w:rsidRPr="002D785A">
        <w:rPr>
          <w:b/>
          <w:bCs/>
          <w:sz w:val="28"/>
          <w:szCs w:val="28"/>
          <w:lang w:val="en-US"/>
        </w:rPr>
        <w:t>Aim of the Study</w:t>
      </w:r>
    </w:p>
    <w:p w:rsidR="002D785A" w:rsidRPr="002D785A" w:rsidRDefault="002D785A" w:rsidP="002D785A">
      <w:pPr>
        <w:widowControl/>
        <w:tabs>
          <w:tab w:val="left" w:pos="993"/>
        </w:tabs>
        <w:autoSpaceDE/>
        <w:autoSpaceDN/>
        <w:jc w:val="both"/>
        <w:rPr>
          <w:bCs/>
          <w:sz w:val="28"/>
          <w:szCs w:val="28"/>
          <w:lang w:val="en-US"/>
        </w:rPr>
      </w:pPr>
      <w:r w:rsidRPr="002D785A">
        <w:rPr>
          <w:bCs/>
          <w:sz w:val="28"/>
          <w:szCs w:val="28"/>
          <w:lang w:val="en-US"/>
        </w:rPr>
        <w:t>To perform a comprehensive assessment of clinical and laboratory predictors of severe disease and adverse outcomes in comorbid patients with COVID-19, followed by pharmacoeconomic justification of etiopathogenetic therapy and the development of an optimized algorithm for dynamic outpatient follow-up.</w:t>
      </w:r>
    </w:p>
    <w:p w:rsidR="002D785A" w:rsidRPr="002D785A" w:rsidRDefault="002D785A" w:rsidP="002D785A">
      <w:pPr>
        <w:widowControl/>
        <w:tabs>
          <w:tab w:val="left" w:pos="993"/>
        </w:tabs>
        <w:autoSpaceDE/>
        <w:autoSpaceDN/>
        <w:jc w:val="both"/>
        <w:rPr>
          <w:b/>
          <w:bCs/>
          <w:sz w:val="28"/>
          <w:szCs w:val="28"/>
          <w:lang w:val="en-US"/>
        </w:rPr>
      </w:pPr>
      <w:r w:rsidRPr="002D785A">
        <w:rPr>
          <w:b/>
          <w:bCs/>
          <w:sz w:val="28"/>
          <w:szCs w:val="28"/>
          <w:lang w:val="en-US"/>
        </w:rPr>
        <w:t>Objectives of the Study</w:t>
      </w:r>
    </w:p>
    <w:p w:rsidR="002D785A" w:rsidRPr="002D785A" w:rsidRDefault="002D785A" w:rsidP="002D785A">
      <w:pPr>
        <w:pStyle w:val="a4"/>
        <w:widowControl/>
        <w:numPr>
          <w:ilvl w:val="0"/>
          <w:numId w:val="15"/>
        </w:numPr>
        <w:tabs>
          <w:tab w:val="left" w:pos="993"/>
        </w:tabs>
        <w:autoSpaceDE/>
        <w:autoSpaceDN/>
        <w:rPr>
          <w:bCs/>
          <w:sz w:val="28"/>
          <w:szCs w:val="28"/>
          <w:lang w:val="en-US"/>
        </w:rPr>
      </w:pPr>
      <w:r w:rsidRPr="002D785A">
        <w:rPr>
          <w:bCs/>
          <w:sz w:val="28"/>
          <w:szCs w:val="28"/>
          <w:lang w:val="en-US"/>
        </w:rPr>
        <w:t>To analyze clinical and laboratory parameters in comorbid patients with COVID-19 depending on disease severity.</w:t>
      </w:r>
    </w:p>
    <w:p w:rsidR="00887E69" w:rsidRDefault="00082292" w:rsidP="002D785A">
      <w:pPr>
        <w:pStyle w:val="a4"/>
        <w:widowControl/>
        <w:numPr>
          <w:ilvl w:val="0"/>
          <w:numId w:val="15"/>
        </w:numPr>
        <w:tabs>
          <w:tab w:val="left" w:pos="993"/>
        </w:tabs>
        <w:autoSpaceDE/>
        <w:autoSpaceDN/>
        <w:rPr>
          <w:bCs/>
          <w:sz w:val="28"/>
          <w:szCs w:val="28"/>
          <w:lang w:val="en-US"/>
        </w:rPr>
      </w:pPr>
      <w:r w:rsidRPr="00082292">
        <w:rPr>
          <w:bCs/>
          <w:sz w:val="28"/>
          <w:szCs w:val="28"/>
          <w:lang w:val="en-US"/>
        </w:rPr>
        <w:t>To investigate prognosis and clinical outcomes in patients with severe COVID-19</w:t>
      </w:r>
      <w:r w:rsidR="00887E69" w:rsidRPr="00887E69">
        <w:rPr>
          <w:bCs/>
          <w:sz w:val="28"/>
          <w:szCs w:val="28"/>
          <w:lang w:val="en-US"/>
        </w:rPr>
        <w:t>.</w:t>
      </w:r>
    </w:p>
    <w:p w:rsidR="002D785A" w:rsidRPr="002D785A" w:rsidRDefault="002D785A" w:rsidP="002D785A">
      <w:pPr>
        <w:pStyle w:val="a4"/>
        <w:widowControl/>
        <w:numPr>
          <w:ilvl w:val="0"/>
          <w:numId w:val="15"/>
        </w:numPr>
        <w:tabs>
          <w:tab w:val="left" w:pos="993"/>
        </w:tabs>
        <w:autoSpaceDE/>
        <w:autoSpaceDN/>
        <w:rPr>
          <w:bCs/>
          <w:sz w:val="28"/>
          <w:szCs w:val="28"/>
          <w:lang w:val="en-US"/>
        </w:rPr>
      </w:pPr>
      <w:r w:rsidRPr="002D785A">
        <w:rPr>
          <w:bCs/>
          <w:sz w:val="28"/>
          <w:szCs w:val="28"/>
          <w:lang w:val="en-US"/>
        </w:rPr>
        <w:t>To evaluate the effectiveness of different therapeutic regimens in comorbid patients with COVID-19.</w:t>
      </w:r>
    </w:p>
    <w:p w:rsidR="002D785A" w:rsidRPr="002D785A" w:rsidRDefault="002D785A" w:rsidP="002D785A">
      <w:pPr>
        <w:pStyle w:val="a4"/>
        <w:widowControl/>
        <w:numPr>
          <w:ilvl w:val="0"/>
          <w:numId w:val="15"/>
        </w:numPr>
        <w:tabs>
          <w:tab w:val="left" w:pos="993"/>
        </w:tabs>
        <w:autoSpaceDE/>
        <w:autoSpaceDN/>
        <w:rPr>
          <w:bCs/>
          <w:sz w:val="28"/>
          <w:szCs w:val="28"/>
          <w:lang w:val="en-US"/>
        </w:rPr>
      </w:pPr>
      <w:r w:rsidRPr="002D785A">
        <w:rPr>
          <w:bCs/>
          <w:sz w:val="28"/>
          <w:szCs w:val="28"/>
          <w:lang w:val="en-US"/>
        </w:rPr>
        <w:t>To conduct a pharmacoeconomic evaluation of etiopathogenetic therapy, including cost analysis and calculation of relative risk (RR) of adverse outcomes.</w:t>
      </w:r>
    </w:p>
    <w:p w:rsidR="002D785A" w:rsidRPr="002D785A" w:rsidRDefault="002D785A" w:rsidP="002D785A">
      <w:pPr>
        <w:pStyle w:val="a4"/>
        <w:widowControl/>
        <w:numPr>
          <w:ilvl w:val="0"/>
          <w:numId w:val="15"/>
        </w:numPr>
        <w:tabs>
          <w:tab w:val="left" w:pos="993"/>
        </w:tabs>
        <w:autoSpaceDE/>
        <w:autoSpaceDN/>
        <w:rPr>
          <w:sz w:val="28"/>
          <w:szCs w:val="28"/>
          <w:lang w:val="en-US"/>
        </w:rPr>
      </w:pPr>
      <w:r w:rsidRPr="002D785A">
        <w:rPr>
          <w:bCs/>
          <w:sz w:val="28"/>
          <w:szCs w:val="28"/>
          <w:lang w:val="en-US"/>
        </w:rPr>
        <w:t>To optimize a risk-based algorithm for dynamic outpatient follow-up of COVID-19 convalescents with comorbid conditions.</w:t>
      </w:r>
    </w:p>
    <w:p w:rsidR="002D785A" w:rsidRDefault="002D785A" w:rsidP="002D785A">
      <w:pPr>
        <w:pStyle w:val="a4"/>
        <w:rPr>
          <w:b/>
          <w:sz w:val="28"/>
          <w:szCs w:val="28"/>
          <w:lang w:val="en-US"/>
        </w:rPr>
      </w:pPr>
    </w:p>
    <w:p w:rsidR="002E7313" w:rsidRPr="002D785A" w:rsidRDefault="002E7313" w:rsidP="002D785A">
      <w:pPr>
        <w:pStyle w:val="a4"/>
        <w:rPr>
          <w:b/>
          <w:sz w:val="28"/>
          <w:szCs w:val="28"/>
          <w:lang w:val="en-US"/>
        </w:rPr>
      </w:pPr>
    </w:p>
    <w:p w:rsidR="002D785A" w:rsidRPr="002D785A" w:rsidRDefault="002D785A" w:rsidP="002D785A">
      <w:pPr>
        <w:widowControl/>
        <w:tabs>
          <w:tab w:val="left" w:pos="993"/>
        </w:tabs>
        <w:autoSpaceDE/>
        <w:autoSpaceDN/>
        <w:jc w:val="both"/>
        <w:rPr>
          <w:b/>
          <w:sz w:val="28"/>
          <w:szCs w:val="28"/>
          <w:lang w:val="en-US"/>
        </w:rPr>
      </w:pPr>
      <w:r w:rsidRPr="002D785A">
        <w:rPr>
          <w:b/>
          <w:sz w:val="28"/>
          <w:szCs w:val="28"/>
          <w:lang w:val="en-US"/>
        </w:rPr>
        <w:t>Object of the Study</w:t>
      </w:r>
    </w:p>
    <w:p w:rsidR="002D785A" w:rsidRDefault="002D785A" w:rsidP="002D785A">
      <w:pPr>
        <w:widowControl/>
        <w:tabs>
          <w:tab w:val="left" w:pos="993"/>
        </w:tabs>
        <w:autoSpaceDE/>
        <w:autoSpaceDN/>
        <w:jc w:val="both"/>
        <w:rPr>
          <w:sz w:val="28"/>
          <w:szCs w:val="28"/>
          <w:lang w:val="en-US"/>
        </w:rPr>
      </w:pPr>
      <w:r w:rsidRPr="002D785A">
        <w:rPr>
          <w:sz w:val="28"/>
          <w:szCs w:val="28"/>
          <w:lang w:val="en-US"/>
        </w:rPr>
        <w:t>The study included hospitalized patients with confirmed COVID-19 and concomitant pathology presenting with moderate and severe disease. Patients were enrolled at the Infectious Diseases Center of the Regional Clinical Hospital of the Karaganda Region (Republic of Kazakhstan) from January 2021 to February 2022.</w:t>
      </w:r>
    </w:p>
    <w:p w:rsidR="002D785A" w:rsidRPr="002D785A" w:rsidRDefault="002D785A" w:rsidP="002D785A">
      <w:pPr>
        <w:widowControl/>
        <w:tabs>
          <w:tab w:val="left" w:pos="993"/>
        </w:tabs>
        <w:autoSpaceDE/>
        <w:autoSpaceDN/>
        <w:jc w:val="both"/>
        <w:rPr>
          <w:b/>
          <w:sz w:val="28"/>
          <w:szCs w:val="28"/>
          <w:lang w:val="en-US"/>
        </w:rPr>
      </w:pPr>
      <w:r w:rsidRPr="002D785A">
        <w:rPr>
          <w:b/>
          <w:sz w:val="28"/>
          <w:szCs w:val="28"/>
          <w:lang w:val="en-US"/>
        </w:rPr>
        <w:t>Scientific Novelty</w:t>
      </w:r>
    </w:p>
    <w:p w:rsidR="002D785A" w:rsidRPr="002D785A" w:rsidRDefault="002D785A" w:rsidP="002D785A">
      <w:pPr>
        <w:pStyle w:val="a4"/>
        <w:widowControl/>
        <w:numPr>
          <w:ilvl w:val="0"/>
          <w:numId w:val="16"/>
        </w:numPr>
        <w:tabs>
          <w:tab w:val="left" w:pos="993"/>
        </w:tabs>
        <w:autoSpaceDE/>
        <w:autoSpaceDN/>
        <w:rPr>
          <w:sz w:val="28"/>
          <w:szCs w:val="28"/>
          <w:lang w:val="en-US"/>
        </w:rPr>
      </w:pPr>
      <w:r w:rsidRPr="002D785A">
        <w:rPr>
          <w:sz w:val="28"/>
          <w:szCs w:val="28"/>
          <w:lang w:val="en-US"/>
        </w:rPr>
        <w:t>A comprehensive analysis of clinical and laboratory predictors of severe disease and adverse outcomes in hospitalized comorbid patients with COVID-19 was conducted, combined with a pharmacoeconomic evaluation of etiopathogenetic therapy within inpatient settings in the Republic of Kazakhstan.</w:t>
      </w:r>
    </w:p>
    <w:p w:rsidR="002D785A" w:rsidRPr="002D785A" w:rsidRDefault="002D785A" w:rsidP="002D785A">
      <w:pPr>
        <w:pStyle w:val="a4"/>
        <w:widowControl/>
        <w:numPr>
          <w:ilvl w:val="0"/>
          <w:numId w:val="16"/>
        </w:numPr>
        <w:tabs>
          <w:tab w:val="left" w:pos="993"/>
        </w:tabs>
        <w:autoSpaceDE/>
        <w:autoSpaceDN/>
        <w:rPr>
          <w:sz w:val="28"/>
          <w:szCs w:val="28"/>
          <w:lang w:val="en-US"/>
        </w:rPr>
      </w:pPr>
      <w:r w:rsidRPr="002D785A">
        <w:rPr>
          <w:sz w:val="28"/>
          <w:szCs w:val="28"/>
          <w:lang w:val="en-US"/>
        </w:rPr>
        <w:t xml:space="preserve">Independent prognostic factors of adverse outcomes </w:t>
      </w:r>
      <w:r w:rsidR="00E64D11" w:rsidRPr="00E64D11">
        <w:rPr>
          <w:sz w:val="28"/>
          <w:szCs w:val="28"/>
          <w:lang w:val="en-US"/>
        </w:rPr>
        <w:t>were identified for the first time</w:t>
      </w:r>
      <w:r w:rsidRPr="002D785A">
        <w:rPr>
          <w:sz w:val="28"/>
          <w:szCs w:val="28"/>
          <w:lang w:val="en-US"/>
        </w:rPr>
        <w:t>, including the presence of cerebrovascular diseases and unfavorable dynamic changes in C-reactive protein (CRP) and lactate dehydrogenase (LDH).</w:t>
      </w:r>
    </w:p>
    <w:p w:rsidR="002D785A" w:rsidRPr="002D785A" w:rsidRDefault="002D785A" w:rsidP="002D785A">
      <w:pPr>
        <w:pStyle w:val="a4"/>
        <w:widowControl/>
        <w:numPr>
          <w:ilvl w:val="0"/>
          <w:numId w:val="16"/>
        </w:numPr>
        <w:tabs>
          <w:tab w:val="left" w:pos="993"/>
        </w:tabs>
        <w:autoSpaceDE/>
        <w:autoSpaceDN/>
        <w:rPr>
          <w:sz w:val="28"/>
          <w:szCs w:val="28"/>
          <w:lang w:val="en-US"/>
        </w:rPr>
      </w:pPr>
      <w:r w:rsidRPr="002D785A">
        <w:rPr>
          <w:sz w:val="28"/>
          <w:szCs w:val="28"/>
          <w:lang w:val="en-US"/>
        </w:rPr>
        <w:t>A new prognostic model for in-hospital mortality risk in COVID-19 was developed and internally validated based on clinical and laboratory indicators, demonstrating high discriminative ability (AUC = 0.92). The model is applicable for clinical risk stratification (Copyright Certificate No. 58503 dated May 22, 2025).</w:t>
      </w:r>
    </w:p>
    <w:p w:rsidR="002D785A" w:rsidRPr="002D785A" w:rsidRDefault="002D785A" w:rsidP="002D785A">
      <w:pPr>
        <w:pStyle w:val="a4"/>
        <w:widowControl/>
        <w:numPr>
          <w:ilvl w:val="0"/>
          <w:numId w:val="16"/>
        </w:numPr>
        <w:tabs>
          <w:tab w:val="left" w:pos="993"/>
        </w:tabs>
        <w:autoSpaceDE/>
        <w:autoSpaceDN/>
        <w:rPr>
          <w:sz w:val="28"/>
          <w:szCs w:val="28"/>
          <w:lang w:val="en-US"/>
        </w:rPr>
      </w:pPr>
      <w:r w:rsidRPr="002D785A">
        <w:rPr>
          <w:sz w:val="28"/>
          <w:szCs w:val="28"/>
          <w:lang w:val="en-US"/>
        </w:rPr>
        <w:t>A pharmacoeconomic evaluation of etiopathogenetic therapy was conducted for the first time in comorbid COVID-19 patients, including calculation of CER, ICER, and CUA (QALY), allowing quantitative estimation of incremental costs associated with remdesivir therapy.</w:t>
      </w:r>
    </w:p>
    <w:p w:rsidR="002D785A" w:rsidRDefault="002D785A" w:rsidP="002D785A">
      <w:pPr>
        <w:pStyle w:val="a4"/>
        <w:widowControl/>
        <w:numPr>
          <w:ilvl w:val="0"/>
          <w:numId w:val="16"/>
        </w:numPr>
        <w:tabs>
          <w:tab w:val="left" w:pos="993"/>
        </w:tabs>
        <w:autoSpaceDE/>
        <w:autoSpaceDN/>
        <w:rPr>
          <w:sz w:val="28"/>
          <w:szCs w:val="28"/>
          <w:lang w:val="en-US"/>
        </w:rPr>
      </w:pPr>
      <w:r w:rsidRPr="002D785A">
        <w:rPr>
          <w:sz w:val="28"/>
          <w:szCs w:val="28"/>
          <w:lang w:val="en-US"/>
        </w:rPr>
        <w:t>A practical, risk-oriented algorithm for dynamic outpatient follow-up of COVID-19 convalescents with comorbid conditions was developed and implemented (Copyright Certificate No. 58505 dated May 22, 2025).</w:t>
      </w:r>
    </w:p>
    <w:p w:rsidR="006370FC" w:rsidRPr="002E7313" w:rsidRDefault="006370FC" w:rsidP="006370FC">
      <w:pPr>
        <w:widowControl/>
        <w:tabs>
          <w:tab w:val="left" w:pos="993"/>
        </w:tabs>
        <w:autoSpaceDE/>
        <w:autoSpaceDN/>
        <w:jc w:val="both"/>
        <w:rPr>
          <w:b/>
          <w:sz w:val="28"/>
          <w:szCs w:val="28"/>
          <w:lang w:val="en-US"/>
        </w:rPr>
      </w:pPr>
      <w:r w:rsidRPr="002E7313">
        <w:rPr>
          <w:b/>
          <w:sz w:val="28"/>
          <w:szCs w:val="28"/>
          <w:lang w:val="en-US"/>
        </w:rPr>
        <w:t>Theoretical Significance</w:t>
      </w:r>
    </w:p>
    <w:p w:rsidR="006370FC" w:rsidRDefault="006370FC" w:rsidP="006370FC">
      <w:pPr>
        <w:widowControl/>
        <w:tabs>
          <w:tab w:val="left" w:pos="993"/>
        </w:tabs>
        <w:autoSpaceDE/>
        <w:autoSpaceDN/>
        <w:jc w:val="both"/>
        <w:rPr>
          <w:sz w:val="28"/>
          <w:szCs w:val="28"/>
          <w:lang w:val="en-US"/>
        </w:rPr>
      </w:pPr>
      <w:r>
        <w:rPr>
          <w:sz w:val="28"/>
          <w:szCs w:val="28"/>
          <w:lang w:val="en-US"/>
        </w:rPr>
        <w:tab/>
      </w:r>
      <w:r w:rsidRPr="006370FC">
        <w:rPr>
          <w:sz w:val="28"/>
          <w:szCs w:val="28"/>
          <w:lang w:val="en-US"/>
        </w:rPr>
        <w:t>The results expand current understanding of the clinical and laboratory mechanisms underlying severe COVID-19 in comorbid patients and confirm the leading role of dynamic inflammatory marker changes in predicting adverse outcomes.</w:t>
      </w:r>
    </w:p>
    <w:p w:rsidR="006370FC" w:rsidRPr="006370FC" w:rsidRDefault="006370FC" w:rsidP="006370FC">
      <w:pPr>
        <w:widowControl/>
        <w:tabs>
          <w:tab w:val="left" w:pos="993"/>
        </w:tabs>
        <w:autoSpaceDE/>
        <w:autoSpaceDN/>
        <w:jc w:val="both"/>
        <w:rPr>
          <w:b/>
          <w:bCs/>
          <w:sz w:val="28"/>
          <w:szCs w:val="28"/>
          <w:lang w:val="en-US"/>
        </w:rPr>
      </w:pPr>
      <w:r w:rsidRPr="006370FC">
        <w:rPr>
          <w:b/>
          <w:bCs/>
          <w:sz w:val="28"/>
          <w:szCs w:val="28"/>
          <w:lang w:val="en-US"/>
        </w:rPr>
        <w:t>Practical Significance</w:t>
      </w:r>
    </w:p>
    <w:p w:rsidR="006370FC" w:rsidRPr="006370FC" w:rsidRDefault="006370FC" w:rsidP="006370FC">
      <w:pPr>
        <w:pStyle w:val="a4"/>
        <w:widowControl/>
        <w:numPr>
          <w:ilvl w:val="0"/>
          <w:numId w:val="17"/>
        </w:numPr>
        <w:tabs>
          <w:tab w:val="left" w:pos="993"/>
        </w:tabs>
        <w:autoSpaceDE/>
        <w:autoSpaceDN/>
        <w:rPr>
          <w:bCs/>
          <w:sz w:val="28"/>
          <w:szCs w:val="28"/>
          <w:lang w:val="en-US"/>
        </w:rPr>
      </w:pPr>
      <w:r w:rsidRPr="006370FC">
        <w:rPr>
          <w:bCs/>
          <w:sz w:val="28"/>
          <w:szCs w:val="28"/>
          <w:lang w:val="en-US"/>
        </w:rPr>
        <w:t>The identified prognostic clinical and laboratory markers (C-reactive protein, lactate dehydrogenase, ferritin, D-dimer, and peripheral blood cell parameters) can be used for early risk stratification in comorbid patients with COVID-19.</w:t>
      </w:r>
    </w:p>
    <w:p w:rsidR="006370FC" w:rsidRPr="006370FC" w:rsidRDefault="006370FC" w:rsidP="006370FC">
      <w:pPr>
        <w:pStyle w:val="a4"/>
        <w:widowControl/>
        <w:numPr>
          <w:ilvl w:val="0"/>
          <w:numId w:val="17"/>
        </w:numPr>
        <w:tabs>
          <w:tab w:val="left" w:pos="993"/>
        </w:tabs>
        <w:autoSpaceDE/>
        <w:autoSpaceDN/>
        <w:rPr>
          <w:bCs/>
          <w:sz w:val="28"/>
          <w:szCs w:val="28"/>
          <w:lang w:val="en-US"/>
        </w:rPr>
      </w:pPr>
      <w:r w:rsidRPr="006370FC">
        <w:rPr>
          <w:bCs/>
          <w:sz w:val="28"/>
          <w:szCs w:val="28"/>
          <w:lang w:val="en-US"/>
        </w:rPr>
        <w:t>The developed prognostic model of in-hospital mortality risk may be implemented in infectious disease hospitals to justify the scope and intensity of therapy.</w:t>
      </w:r>
    </w:p>
    <w:p w:rsidR="006370FC" w:rsidRPr="006370FC" w:rsidRDefault="006370FC" w:rsidP="006370FC">
      <w:pPr>
        <w:pStyle w:val="a4"/>
        <w:widowControl/>
        <w:numPr>
          <w:ilvl w:val="0"/>
          <w:numId w:val="17"/>
        </w:numPr>
        <w:tabs>
          <w:tab w:val="left" w:pos="993"/>
        </w:tabs>
        <w:autoSpaceDE/>
        <w:autoSpaceDN/>
        <w:rPr>
          <w:bCs/>
          <w:sz w:val="28"/>
          <w:szCs w:val="28"/>
          <w:lang w:val="en-US"/>
        </w:rPr>
      </w:pPr>
      <w:r w:rsidRPr="006370FC">
        <w:rPr>
          <w:bCs/>
          <w:sz w:val="28"/>
          <w:szCs w:val="28"/>
          <w:lang w:val="en-US"/>
        </w:rPr>
        <w:t>The results of the pharmacoeconomic analysis provide a rationale for the rational use of etiopathogenetic therapy, including antiviral agents, under conditions of limited healthcare resources.</w:t>
      </w:r>
    </w:p>
    <w:p w:rsidR="006370FC" w:rsidRPr="006370FC" w:rsidRDefault="006370FC" w:rsidP="006370FC">
      <w:pPr>
        <w:pStyle w:val="a4"/>
        <w:widowControl/>
        <w:numPr>
          <w:ilvl w:val="0"/>
          <w:numId w:val="17"/>
        </w:numPr>
        <w:tabs>
          <w:tab w:val="left" w:pos="993"/>
        </w:tabs>
        <w:autoSpaceDE/>
        <w:autoSpaceDN/>
        <w:rPr>
          <w:bCs/>
          <w:sz w:val="28"/>
          <w:szCs w:val="28"/>
          <w:lang w:val="en-US"/>
        </w:rPr>
      </w:pPr>
      <w:r w:rsidRPr="006370FC">
        <w:rPr>
          <w:bCs/>
          <w:sz w:val="28"/>
          <w:szCs w:val="28"/>
          <w:lang w:val="en-US"/>
        </w:rPr>
        <w:lastRenderedPageBreak/>
        <w:t>The proposed dynamic outpatient follow-up algorithm can be applied within primary healthcare settings for structured monitoring of COVID-19 convalescents and reduction of rehospitalization risk.</w:t>
      </w:r>
    </w:p>
    <w:p w:rsidR="006370FC" w:rsidRPr="006370FC" w:rsidRDefault="006370FC" w:rsidP="006370FC">
      <w:pPr>
        <w:widowControl/>
        <w:shd w:val="clear" w:color="auto" w:fill="FFFFFF"/>
        <w:tabs>
          <w:tab w:val="left" w:pos="709"/>
          <w:tab w:val="left" w:pos="993"/>
        </w:tabs>
        <w:autoSpaceDE/>
        <w:autoSpaceDN/>
        <w:jc w:val="both"/>
        <w:rPr>
          <w:b/>
          <w:sz w:val="28"/>
          <w:szCs w:val="28"/>
          <w:lang w:val="en-US"/>
        </w:rPr>
      </w:pPr>
      <w:r w:rsidRPr="006370FC">
        <w:rPr>
          <w:b/>
          <w:sz w:val="28"/>
          <w:szCs w:val="28"/>
          <w:lang w:val="en-US"/>
        </w:rPr>
        <w:t>Statements Submitted for Defense</w:t>
      </w:r>
    </w:p>
    <w:p w:rsidR="006370FC" w:rsidRPr="006370FC" w:rsidRDefault="006370FC" w:rsidP="006370FC">
      <w:pPr>
        <w:pStyle w:val="a4"/>
        <w:widowControl/>
        <w:numPr>
          <w:ilvl w:val="0"/>
          <w:numId w:val="18"/>
        </w:numPr>
        <w:shd w:val="clear" w:color="auto" w:fill="FFFFFF"/>
        <w:tabs>
          <w:tab w:val="left" w:pos="709"/>
          <w:tab w:val="left" w:pos="993"/>
        </w:tabs>
        <w:autoSpaceDE/>
        <w:autoSpaceDN/>
        <w:rPr>
          <w:sz w:val="28"/>
          <w:szCs w:val="28"/>
          <w:lang w:val="en-US"/>
        </w:rPr>
      </w:pPr>
      <w:r w:rsidRPr="006370FC">
        <w:rPr>
          <w:sz w:val="28"/>
          <w:szCs w:val="28"/>
          <w:lang w:val="en-US"/>
        </w:rPr>
        <w:t>In hospitalized comorbid patients with COVID-19, independent predictors of mortality include the presence of cerebrovascular disease (OR = 4.40; 95% CI: 1.12–18.94; p = 0.037), dynamic elevation of C-reactive protein (OR = 1.016; p = 0.003), and lactate dehydrogenase (OR = 1.001; p = 0.037).</w:t>
      </w:r>
    </w:p>
    <w:p w:rsidR="006370FC" w:rsidRPr="006370FC" w:rsidRDefault="006370FC" w:rsidP="006370FC">
      <w:pPr>
        <w:pStyle w:val="a4"/>
        <w:widowControl/>
        <w:numPr>
          <w:ilvl w:val="0"/>
          <w:numId w:val="18"/>
        </w:numPr>
        <w:shd w:val="clear" w:color="auto" w:fill="FFFFFF"/>
        <w:tabs>
          <w:tab w:val="left" w:pos="709"/>
          <w:tab w:val="left" w:pos="993"/>
        </w:tabs>
        <w:autoSpaceDE/>
        <w:autoSpaceDN/>
        <w:rPr>
          <w:sz w:val="28"/>
          <w:szCs w:val="28"/>
          <w:lang w:val="en-US"/>
        </w:rPr>
      </w:pPr>
      <w:r w:rsidRPr="006370FC">
        <w:rPr>
          <w:sz w:val="28"/>
          <w:szCs w:val="28"/>
          <w:lang w:val="en-US"/>
        </w:rPr>
        <w:t>Based on the identified independent factors, a logistic regression model for mortality prediction was developed, demonstrating high discriminative performance (AUC = 0.92), sensitivity of 87%, and specificity of 83%, enabling stratification of patients into high- and low-risk groups.</w:t>
      </w:r>
    </w:p>
    <w:p w:rsidR="006370FC" w:rsidRPr="006370FC" w:rsidRDefault="006370FC" w:rsidP="006370FC">
      <w:pPr>
        <w:pStyle w:val="a4"/>
        <w:widowControl/>
        <w:numPr>
          <w:ilvl w:val="0"/>
          <w:numId w:val="18"/>
        </w:numPr>
        <w:shd w:val="clear" w:color="auto" w:fill="FFFFFF"/>
        <w:tabs>
          <w:tab w:val="left" w:pos="709"/>
          <w:tab w:val="left" w:pos="993"/>
        </w:tabs>
        <w:autoSpaceDE/>
        <w:autoSpaceDN/>
        <w:rPr>
          <w:sz w:val="28"/>
          <w:szCs w:val="28"/>
          <w:lang w:val="en-US"/>
        </w:rPr>
      </w:pPr>
      <w:r w:rsidRPr="006370FC">
        <w:rPr>
          <w:sz w:val="28"/>
          <w:szCs w:val="28"/>
          <w:lang w:val="en-US"/>
        </w:rPr>
        <w:t>Compared with patients with moderate COVID-19, those with fatal outcomes demonstrated statistically significant increases in inflammatory and coagulation markers: dynamic CRP levels were 4.86 times higher (112.08 vs 23.05 mg/L; p &lt; 0.001), LDH levels were 2.02 times higher (616.5 vs 304.5 U/L; p &lt; 0.001), and D-dimer levels at the end of follow-up were 5.17 times higher (1451.5 vs 281 ng/mL; p &lt; 0.001).</w:t>
      </w:r>
    </w:p>
    <w:p w:rsidR="006370FC" w:rsidRPr="006370FC" w:rsidRDefault="006370FC" w:rsidP="006370FC">
      <w:pPr>
        <w:pStyle w:val="a4"/>
        <w:widowControl/>
        <w:numPr>
          <w:ilvl w:val="0"/>
          <w:numId w:val="18"/>
        </w:numPr>
        <w:shd w:val="clear" w:color="auto" w:fill="FFFFFF"/>
        <w:tabs>
          <w:tab w:val="left" w:pos="709"/>
          <w:tab w:val="left" w:pos="993"/>
        </w:tabs>
        <w:autoSpaceDE/>
        <w:autoSpaceDN/>
        <w:rPr>
          <w:sz w:val="28"/>
          <w:szCs w:val="28"/>
          <w:lang w:val="en-US"/>
        </w:rPr>
      </w:pPr>
      <w:r w:rsidRPr="006370FC">
        <w:rPr>
          <w:sz w:val="28"/>
          <w:szCs w:val="28"/>
          <w:lang w:val="en-US"/>
        </w:rPr>
        <w:t>Pharmacoeconomic analysis demonstrated that in severe COVID-19 among comorbid patients, hospital expenditures constituted the major share of direct medical costs (85.6% of total costs). The inclusion of remdesivir increased total treatment costs by 14.4% (</w:t>
      </w:r>
      <w:r w:rsidRPr="006370FC">
        <w:rPr>
          <w:sz w:val="28"/>
          <w:szCs w:val="28"/>
        </w:rPr>
        <w:t>Δ</w:t>
      </w:r>
      <w:r w:rsidRPr="006370FC">
        <w:rPr>
          <w:sz w:val="28"/>
          <w:szCs w:val="28"/>
          <w:lang w:val="en-US"/>
        </w:rPr>
        <w:t>C = 97,490 KZT per patient), primarily due to drug expenses. The relative risk of mortality in the remdesivir group (RR = 3.44) reflects differences in baseline disease severity between comparison groups. These findings enable quantitative assessment of incremental costs and may inform hospital resource allocation and clinical decision-making.</w:t>
      </w:r>
    </w:p>
    <w:p w:rsidR="006370FC" w:rsidRPr="006370FC" w:rsidRDefault="006370FC" w:rsidP="006370FC">
      <w:pPr>
        <w:pStyle w:val="a4"/>
        <w:widowControl/>
        <w:numPr>
          <w:ilvl w:val="0"/>
          <w:numId w:val="18"/>
        </w:numPr>
        <w:shd w:val="clear" w:color="auto" w:fill="FFFFFF"/>
        <w:tabs>
          <w:tab w:val="left" w:pos="709"/>
          <w:tab w:val="left" w:pos="993"/>
        </w:tabs>
        <w:autoSpaceDE/>
        <w:autoSpaceDN/>
        <w:rPr>
          <w:sz w:val="28"/>
          <w:szCs w:val="28"/>
          <w:lang w:val="en-US"/>
        </w:rPr>
      </w:pPr>
      <w:r w:rsidRPr="006370FC">
        <w:rPr>
          <w:sz w:val="28"/>
          <w:szCs w:val="28"/>
          <w:lang w:val="en-US"/>
        </w:rPr>
        <w:t>The developed algorithm for dynamic outpatient follow-up of COVID-19 convalescents with comorbid conditions is based on objective prognostic criteria and enables early high-risk stratification as early as days 3–5 after hospital discharge. The algorithm optimizes patient routing according to clinical and laboratory dynamics, standardizes clinical decision-making, and allows timely determination of the need for reassessment, therapy intensification, or rehospitalization prior to overt clinical decompensation.</w:t>
      </w:r>
    </w:p>
    <w:p w:rsidR="00497127" w:rsidRPr="006370FC" w:rsidRDefault="00497127" w:rsidP="006370FC">
      <w:pPr>
        <w:widowControl/>
        <w:shd w:val="clear" w:color="auto" w:fill="FFFFFF"/>
        <w:tabs>
          <w:tab w:val="left" w:pos="709"/>
          <w:tab w:val="left" w:pos="993"/>
        </w:tabs>
        <w:autoSpaceDE/>
        <w:autoSpaceDN/>
        <w:jc w:val="both"/>
        <w:rPr>
          <w:sz w:val="28"/>
          <w:szCs w:val="28"/>
          <w:lang w:val="en-US"/>
        </w:rPr>
      </w:pPr>
      <w:r w:rsidRPr="006370FC">
        <w:rPr>
          <w:sz w:val="28"/>
          <w:szCs w:val="28"/>
          <w:lang w:val="en-US"/>
        </w:rPr>
        <w:tab/>
      </w:r>
      <w:r w:rsidR="006370FC" w:rsidRPr="006370FC">
        <w:rPr>
          <w:sz w:val="28"/>
          <w:szCs w:val="28"/>
          <w:lang w:val="en-US"/>
        </w:rPr>
        <w:t>The study was approved by the Local Bioethics Committee of Karaganda Medical University (Protocol No. 3 dated November 7, 2022).</w:t>
      </w:r>
    </w:p>
    <w:p w:rsidR="006370FC" w:rsidRPr="006370FC" w:rsidRDefault="006370FC" w:rsidP="006370FC">
      <w:pPr>
        <w:widowControl/>
        <w:tabs>
          <w:tab w:val="left" w:pos="426"/>
        </w:tabs>
        <w:autoSpaceDE/>
        <w:autoSpaceDN/>
        <w:ind w:firstLine="567"/>
        <w:jc w:val="both"/>
        <w:rPr>
          <w:sz w:val="28"/>
          <w:szCs w:val="28"/>
          <w:lang w:val="en-US"/>
        </w:rPr>
      </w:pPr>
      <w:r w:rsidRPr="006370FC">
        <w:rPr>
          <w:sz w:val="28"/>
          <w:szCs w:val="28"/>
          <w:lang w:val="en-US"/>
        </w:rPr>
        <w:t>Approval of the Dissertation Topic</w:t>
      </w:r>
    </w:p>
    <w:p w:rsidR="002541B3" w:rsidRDefault="006370FC" w:rsidP="006370FC">
      <w:pPr>
        <w:widowControl/>
        <w:tabs>
          <w:tab w:val="left" w:pos="426"/>
        </w:tabs>
        <w:autoSpaceDE/>
        <w:autoSpaceDN/>
        <w:ind w:firstLine="567"/>
        <w:jc w:val="both"/>
        <w:rPr>
          <w:sz w:val="28"/>
          <w:szCs w:val="28"/>
          <w:lang w:val="en-US"/>
        </w:rPr>
      </w:pPr>
      <w:r w:rsidRPr="006370FC">
        <w:rPr>
          <w:sz w:val="28"/>
          <w:szCs w:val="28"/>
          <w:lang w:val="en-US"/>
        </w:rPr>
        <w:t>The dissertation topic was approved by the Senate of the Non-Commercial Joint-Stock Company “Karaganda Medical University” (Protocol No. 4 dated November 24, 2022).</w:t>
      </w:r>
    </w:p>
    <w:p w:rsidR="002541B3" w:rsidRDefault="002541B3" w:rsidP="002541B3">
      <w:pPr>
        <w:widowControl/>
        <w:tabs>
          <w:tab w:val="left" w:pos="426"/>
        </w:tabs>
        <w:autoSpaceDE/>
        <w:autoSpaceDN/>
        <w:ind w:firstLine="567"/>
        <w:jc w:val="both"/>
        <w:rPr>
          <w:sz w:val="28"/>
          <w:szCs w:val="28"/>
          <w:lang w:val="en-US"/>
        </w:rPr>
      </w:pPr>
      <w:r w:rsidRPr="00012B6D">
        <w:rPr>
          <w:b/>
          <w:sz w:val="28"/>
          <w:szCs w:val="28"/>
          <w:lang w:val="en-US"/>
        </w:rPr>
        <w:t>Approbation of the Dissertation</w:t>
      </w:r>
      <w:r w:rsidR="00012B6D" w:rsidRPr="00012B6D">
        <w:rPr>
          <w:b/>
          <w:sz w:val="28"/>
          <w:szCs w:val="28"/>
          <w:lang w:val="en-US"/>
        </w:rPr>
        <w:t>.</w:t>
      </w:r>
      <w:r w:rsidR="00012B6D" w:rsidRPr="00012B6D">
        <w:rPr>
          <w:sz w:val="28"/>
          <w:szCs w:val="28"/>
          <w:lang w:val="en-US"/>
        </w:rPr>
        <w:t xml:space="preserve"> </w:t>
      </w:r>
      <w:r w:rsidRPr="002541B3">
        <w:rPr>
          <w:sz w:val="28"/>
          <w:szCs w:val="28"/>
          <w:lang w:val="en-US"/>
        </w:rPr>
        <w:t>The dissertation was discussed and approved at a meeting of the Department of Infectious Diseases and Phthisiology on June 27, 2025 (Protocol No. 6).</w:t>
      </w:r>
    </w:p>
    <w:p w:rsidR="002541B3" w:rsidRPr="002541B3" w:rsidRDefault="002541B3" w:rsidP="002541B3">
      <w:pPr>
        <w:widowControl/>
        <w:tabs>
          <w:tab w:val="left" w:pos="426"/>
        </w:tabs>
        <w:autoSpaceDE/>
        <w:autoSpaceDN/>
        <w:ind w:firstLine="567"/>
        <w:jc w:val="both"/>
        <w:rPr>
          <w:b/>
          <w:sz w:val="28"/>
          <w:szCs w:val="28"/>
          <w:lang w:val="en-US"/>
        </w:rPr>
      </w:pPr>
      <w:r w:rsidRPr="002541B3">
        <w:rPr>
          <w:b/>
          <w:sz w:val="28"/>
          <w:szCs w:val="28"/>
          <w:lang w:val="en-US"/>
        </w:rPr>
        <w:t>Presentation of Study Materials</w:t>
      </w:r>
    </w:p>
    <w:p w:rsidR="002541B3" w:rsidRPr="002541B3" w:rsidRDefault="002541B3" w:rsidP="002541B3">
      <w:pPr>
        <w:widowControl/>
        <w:tabs>
          <w:tab w:val="left" w:pos="426"/>
        </w:tabs>
        <w:autoSpaceDE/>
        <w:autoSpaceDN/>
        <w:ind w:firstLine="567"/>
        <w:jc w:val="both"/>
        <w:rPr>
          <w:sz w:val="28"/>
          <w:szCs w:val="28"/>
          <w:lang w:val="en-US"/>
        </w:rPr>
      </w:pPr>
      <w:r w:rsidRPr="002541B3">
        <w:rPr>
          <w:sz w:val="28"/>
          <w:szCs w:val="28"/>
          <w:lang w:val="en-US"/>
        </w:rPr>
        <w:t>The research findings were presented at:</w:t>
      </w:r>
    </w:p>
    <w:p w:rsidR="002541B3" w:rsidRPr="002541B3" w:rsidRDefault="002541B3" w:rsidP="002541B3">
      <w:pPr>
        <w:widowControl/>
        <w:tabs>
          <w:tab w:val="left" w:pos="426"/>
        </w:tabs>
        <w:autoSpaceDE/>
        <w:autoSpaceDN/>
        <w:ind w:firstLine="567"/>
        <w:jc w:val="both"/>
        <w:rPr>
          <w:sz w:val="28"/>
          <w:szCs w:val="28"/>
          <w:lang w:val="en-US"/>
        </w:rPr>
      </w:pPr>
      <w:r w:rsidRPr="002541B3">
        <w:rPr>
          <w:sz w:val="28"/>
          <w:szCs w:val="28"/>
          <w:lang w:val="en-US"/>
        </w:rPr>
        <w:lastRenderedPageBreak/>
        <w:t>The II International Scientific and Practical Conference “Current Infections of the Republic of Kazakhstan and Central Asia,” Shymkent, June 16–17, 2023.</w:t>
      </w:r>
    </w:p>
    <w:p w:rsidR="002541B3" w:rsidRPr="002541B3" w:rsidRDefault="002541B3" w:rsidP="002541B3">
      <w:pPr>
        <w:widowControl/>
        <w:tabs>
          <w:tab w:val="left" w:pos="426"/>
        </w:tabs>
        <w:autoSpaceDE/>
        <w:autoSpaceDN/>
        <w:ind w:firstLine="567"/>
        <w:jc w:val="both"/>
        <w:rPr>
          <w:sz w:val="28"/>
          <w:szCs w:val="28"/>
          <w:lang w:val="en-US"/>
        </w:rPr>
      </w:pPr>
      <w:r w:rsidRPr="002541B3">
        <w:rPr>
          <w:sz w:val="28"/>
          <w:szCs w:val="28"/>
          <w:lang w:val="en-US"/>
        </w:rPr>
        <w:t>The II Kazakhstan Congress of Infectious Disease Specialists with International Participation “Infectious Diseases in the Era of Globalization: Challenges and Solutions,” Astana, October 5–6, 2023.</w:t>
      </w:r>
    </w:p>
    <w:p w:rsidR="002541B3" w:rsidRPr="002541B3" w:rsidRDefault="002541B3" w:rsidP="002541B3">
      <w:pPr>
        <w:widowControl/>
        <w:tabs>
          <w:tab w:val="left" w:pos="426"/>
        </w:tabs>
        <w:autoSpaceDE/>
        <w:autoSpaceDN/>
        <w:ind w:firstLine="567"/>
        <w:jc w:val="both"/>
        <w:rPr>
          <w:sz w:val="28"/>
          <w:szCs w:val="28"/>
          <w:lang w:val="en-US"/>
        </w:rPr>
      </w:pPr>
      <w:r w:rsidRPr="002541B3">
        <w:rPr>
          <w:sz w:val="28"/>
          <w:szCs w:val="28"/>
          <w:lang w:val="en-US"/>
        </w:rPr>
        <w:t>The International Scientific and Practical Conference “Infectious Diseases and Antimicrobial Agents,” Bukhara, October 19–20, 2023.</w:t>
      </w:r>
    </w:p>
    <w:p w:rsidR="002541B3" w:rsidRPr="002541B3" w:rsidRDefault="002541B3" w:rsidP="002541B3">
      <w:pPr>
        <w:widowControl/>
        <w:tabs>
          <w:tab w:val="left" w:pos="426"/>
          <w:tab w:val="left" w:pos="709"/>
        </w:tabs>
        <w:autoSpaceDE/>
        <w:autoSpaceDN/>
        <w:ind w:firstLine="567"/>
        <w:jc w:val="both"/>
        <w:rPr>
          <w:b/>
          <w:sz w:val="28"/>
          <w:szCs w:val="28"/>
          <w:lang w:val="en-US"/>
        </w:rPr>
      </w:pPr>
      <w:r w:rsidRPr="002541B3">
        <w:rPr>
          <w:b/>
          <w:sz w:val="28"/>
          <w:szCs w:val="28"/>
          <w:lang w:val="en-US"/>
        </w:rPr>
        <w:t>Author’s Contribution</w:t>
      </w:r>
    </w:p>
    <w:p w:rsidR="002541B3" w:rsidRPr="002E7313" w:rsidRDefault="002E7313" w:rsidP="002541B3">
      <w:pPr>
        <w:widowControl/>
        <w:tabs>
          <w:tab w:val="left" w:pos="426"/>
          <w:tab w:val="left" w:pos="709"/>
        </w:tabs>
        <w:autoSpaceDE/>
        <w:autoSpaceDN/>
        <w:ind w:firstLine="567"/>
        <w:jc w:val="both"/>
        <w:rPr>
          <w:b/>
          <w:sz w:val="28"/>
          <w:szCs w:val="28"/>
          <w:lang w:val="en-US"/>
        </w:rPr>
      </w:pPr>
      <w:r w:rsidRPr="002E7313">
        <w:rPr>
          <w:sz w:val="28"/>
          <w:szCs w:val="28"/>
          <w:lang w:val="en-US"/>
        </w:rPr>
        <w:t>The author actively participated in all stages of the dissertation research, from the analysis of domestic and international scientific literature to the interpretation of the obtained results. The research objectives and study design were developed by the author. The selection of patients’ medical records from the hospital archive (Damumed system) was carried out independently. The author personally created the electronic databases, performed the preliminary data preparation for statistical analysis, and conducted the interpretation of the results. In addition, the author contributed to the writing and preparation of scientific publications related to the dissertation research.</w:t>
      </w:r>
    </w:p>
    <w:p w:rsidR="002541B3" w:rsidRPr="002541B3" w:rsidRDefault="002541B3" w:rsidP="002541B3">
      <w:pPr>
        <w:widowControl/>
        <w:tabs>
          <w:tab w:val="left" w:pos="426"/>
        </w:tabs>
        <w:autoSpaceDE/>
        <w:autoSpaceDN/>
        <w:ind w:firstLine="567"/>
        <w:rPr>
          <w:b/>
          <w:bCs/>
          <w:sz w:val="28"/>
          <w:szCs w:val="28"/>
          <w:lang w:val="en-US"/>
        </w:rPr>
      </w:pPr>
      <w:r w:rsidRPr="002541B3">
        <w:rPr>
          <w:b/>
          <w:bCs/>
          <w:sz w:val="28"/>
          <w:szCs w:val="28"/>
          <w:lang w:val="en-US"/>
        </w:rPr>
        <w:t>Implementation of Research Results</w:t>
      </w:r>
    </w:p>
    <w:p w:rsidR="002541B3" w:rsidRPr="002541B3" w:rsidRDefault="002541B3" w:rsidP="002541B3">
      <w:pPr>
        <w:widowControl/>
        <w:tabs>
          <w:tab w:val="left" w:pos="426"/>
        </w:tabs>
        <w:autoSpaceDE/>
        <w:autoSpaceDN/>
        <w:ind w:firstLine="567"/>
        <w:rPr>
          <w:sz w:val="28"/>
          <w:szCs w:val="28"/>
          <w:lang w:val="en-US"/>
        </w:rPr>
      </w:pPr>
      <w:r w:rsidRPr="002541B3">
        <w:rPr>
          <w:sz w:val="28"/>
          <w:szCs w:val="28"/>
          <w:lang w:val="en-US"/>
        </w:rPr>
        <w:t>The results of the dissertation have been implemented in healthcare practice within the Karaganda Region:</w:t>
      </w:r>
    </w:p>
    <w:p w:rsidR="002541B3" w:rsidRPr="002541B3" w:rsidRDefault="002541B3" w:rsidP="002541B3">
      <w:pPr>
        <w:widowControl/>
        <w:numPr>
          <w:ilvl w:val="0"/>
          <w:numId w:val="19"/>
        </w:numPr>
        <w:tabs>
          <w:tab w:val="left" w:pos="426"/>
        </w:tabs>
        <w:autoSpaceDE/>
        <w:autoSpaceDN/>
        <w:rPr>
          <w:sz w:val="28"/>
          <w:szCs w:val="28"/>
          <w:lang w:val="en-US"/>
        </w:rPr>
      </w:pPr>
      <w:r w:rsidRPr="002541B3">
        <w:rPr>
          <w:sz w:val="28"/>
          <w:szCs w:val="28"/>
          <w:lang w:val="en-US"/>
        </w:rPr>
        <w:t>Infectious Diseases Center of the Regional Clinical Hospital of the Karaganda Region;</w:t>
      </w:r>
    </w:p>
    <w:p w:rsidR="002541B3" w:rsidRPr="002541B3" w:rsidRDefault="002541B3" w:rsidP="002541B3">
      <w:pPr>
        <w:widowControl/>
        <w:numPr>
          <w:ilvl w:val="0"/>
          <w:numId w:val="19"/>
        </w:numPr>
        <w:tabs>
          <w:tab w:val="left" w:pos="426"/>
        </w:tabs>
        <w:autoSpaceDE/>
        <w:autoSpaceDN/>
        <w:rPr>
          <w:sz w:val="28"/>
          <w:szCs w:val="28"/>
          <w:lang w:val="en-US"/>
        </w:rPr>
      </w:pPr>
      <w:r w:rsidRPr="002541B3">
        <w:rPr>
          <w:sz w:val="28"/>
          <w:szCs w:val="28"/>
          <w:lang w:val="en-US"/>
        </w:rPr>
        <w:t>Primary healthcare institutions responsible for post-COVID patient follow-up.</w:t>
      </w:r>
    </w:p>
    <w:p w:rsidR="002541B3" w:rsidRPr="002541B3" w:rsidRDefault="002541B3" w:rsidP="002541B3">
      <w:pPr>
        <w:widowControl/>
        <w:tabs>
          <w:tab w:val="left" w:pos="426"/>
        </w:tabs>
        <w:autoSpaceDE/>
        <w:autoSpaceDN/>
        <w:ind w:firstLine="567"/>
        <w:rPr>
          <w:sz w:val="28"/>
          <w:szCs w:val="28"/>
          <w:lang w:val="en-US"/>
        </w:rPr>
      </w:pPr>
      <w:r w:rsidRPr="002541B3">
        <w:rPr>
          <w:sz w:val="28"/>
          <w:szCs w:val="28"/>
          <w:lang w:val="en-US"/>
        </w:rPr>
        <w:t>Based on the study results:</w:t>
      </w:r>
    </w:p>
    <w:p w:rsidR="002541B3" w:rsidRPr="002541B3" w:rsidRDefault="002E7313" w:rsidP="002E7313">
      <w:pPr>
        <w:widowControl/>
        <w:tabs>
          <w:tab w:val="left" w:pos="426"/>
        </w:tabs>
        <w:autoSpaceDE/>
        <w:autoSpaceDN/>
        <w:ind w:left="720"/>
        <w:rPr>
          <w:sz w:val="28"/>
          <w:szCs w:val="28"/>
          <w:lang w:val="en-US"/>
        </w:rPr>
      </w:pPr>
      <w:r w:rsidRPr="002E7313">
        <w:rPr>
          <w:sz w:val="28"/>
          <w:szCs w:val="28"/>
          <w:lang w:val="en-US"/>
        </w:rPr>
        <w:t xml:space="preserve">– </w:t>
      </w:r>
      <w:r w:rsidR="002541B3" w:rsidRPr="002541B3">
        <w:rPr>
          <w:sz w:val="28"/>
          <w:szCs w:val="28"/>
          <w:lang w:val="en-US"/>
        </w:rPr>
        <w:t>The developed mortality risk prediction model is used for objective risk stratification and justification of ICU transfer in patients with a high probability of adverse outcomes, ensuring a standardized clinical decision-making approach.</w:t>
      </w:r>
    </w:p>
    <w:p w:rsidR="002541B3" w:rsidRPr="002541B3" w:rsidRDefault="002E7313" w:rsidP="002E7313">
      <w:pPr>
        <w:widowControl/>
        <w:tabs>
          <w:tab w:val="left" w:pos="426"/>
        </w:tabs>
        <w:autoSpaceDE/>
        <w:autoSpaceDN/>
        <w:rPr>
          <w:sz w:val="28"/>
          <w:szCs w:val="28"/>
          <w:lang w:val="en-US"/>
        </w:rPr>
      </w:pPr>
      <w:r w:rsidRPr="002E7313">
        <w:rPr>
          <w:sz w:val="28"/>
          <w:szCs w:val="28"/>
          <w:lang w:val="en-US"/>
        </w:rPr>
        <w:t xml:space="preserve">          – </w:t>
      </w:r>
      <w:r w:rsidR="002541B3" w:rsidRPr="002541B3">
        <w:rPr>
          <w:sz w:val="28"/>
          <w:szCs w:val="28"/>
          <w:lang w:val="en-US"/>
        </w:rPr>
        <w:t>The dynamic outpatient monitoring model has been integrated into primary healthcare practice for post-discharge management, facilitating early detection of clinical destabilization and reducing rehospitalization rates.</w:t>
      </w:r>
    </w:p>
    <w:p w:rsidR="002541B3" w:rsidRPr="002541B3" w:rsidRDefault="002541B3" w:rsidP="002541B3">
      <w:pPr>
        <w:widowControl/>
        <w:tabs>
          <w:tab w:val="left" w:pos="426"/>
        </w:tabs>
        <w:autoSpaceDE/>
        <w:autoSpaceDN/>
        <w:ind w:firstLine="567"/>
        <w:rPr>
          <w:sz w:val="28"/>
          <w:szCs w:val="28"/>
          <w:lang w:val="en-US"/>
        </w:rPr>
      </w:pPr>
      <w:r w:rsidRPr="002541B3">
        <w:rPr>
          <w:sz w:val="28"/>
          <w:szCs w:val="28"/>
          <w:lang w:val="en-US"/>
        </w:rPr>
        <w:t>Implementation is confirmed by official acts approved by the heads of the respective medical organizations.</w:t>
      </w:r>
    </w:p>
    <w:p w:rsidR="002541B3" w:rsidRPr="002541B3" w:rsidRDefault="002541B3" w:rsidP="002541B3">
      <w:pPr>
        <w:pStyle w:val="a3"/>
        <w:rPr>
          <w:b/>
          <w:bCs/>
          <w:lang w:val="en-US"/>
        </w:rPr>
      </w:pPr>
      <w:r w:rsidRPr="002541B3">
        <w:rPr>
          <w:b/>
          <w:bCs/>
          <w:lang w:val="en-US"/>
        </w:rPr>
        <w:t>Publications</w:t>
      </w:r>
    </w:p>
    <w:p w:rsidR="002541B3" w:rsidRPr="002541B3" w:rsidRDefault="002541B3" w:rsidP="002541B3">
      <w:pPr>
        <w:pStyle w:val="a3"/>
        <w:rPr>
          <w:lang w:val="en-US"/>
        </w:rPr>
      </w:pPr>
      <w:r w:rsidRPr="002541B3">
        <w:rPr>
          <w:lang w:val="en-US"/>
        </w:rPr>
        <w:t>Five scientific papers have been published based on the dissertation research, including:</w:t>
      </w:r>
    </w:p>
    <w:p w:rsidR="002541B3" w:rsidRPr="002541B3" w:rsidRDefault="002E7313" w:rsidP="002E7313">
      <w:pPr>
        <w:pStyle w:val="a3"/>
        <w:rPr>
          <w:lang w:val="en-US"/>
        </w:rPr>
      </w:pPr>
      <w:r w:rsidRPr="002E7313">
        <w:rPr>
          <w:lang w:val="en-US"/>
        </w:rPr>
        <w:t xml:space="preserve">– </w:t>
      </w:r>
      <w:r w:rsidR="002541B3" w:rsidRPr="002541B3">
        <w:rPr>
          <w:lang w:val="en-US"/>
        </w:rPr>
        <w:t>Two articles in a Scopus-indexed journal (Q3);</w:t>
      </w:r>
    </w:p>
    <w:p w:rsidR="002541B3" w:rsidRPr="002541B3" w:rsidRDefault="002E7313" w:rsidP="002E7313">
      <w:pPr>
        <w:pStyle w:val="a3"/>
        <w:rPr>
          <w:lang w:val="en-US"/>
        </w:rPr>
      </w:pPr>
      <w:r w:rsidRPr="002E7313">
        <w:rPr>
          <w:lang w:val="en-US"/>
        </w:rPr>
        <w:t xml:space="preserve">– </w:t>
      </w:r>
      <w:r w:rsidR="002541B3" w:rsidRPr="002541B3">
        <w:rPr>
          <w:lang w:val="en-US"/>
        </w:rPr>
        <w:t>Three articles in journals recommended by the Committee for Quality Assurance in the Field of Education and Science of the Ministry of Education and Science of the Republic of Kazakhstan.</w:t>
      </w:r>
    </w:p>
    <w:p w:rsidR="00AA35EB" w:rsidRPr="00012B6D" w:rsidRDefault="00AA35EB" w:rsidP="001763C1">
      <w:pPr>
        <w:pStyle w:val="a3"/>
        <w:ind w:firstLine="708"/>
        <w:rPr>
          <w:b/>
          <w:bCs/>
          <w:lang w:val="en-US"/>
        </w:rPr>
      </w:pPr>
      <w:r w:rsidRPr="00012B6D">
        <w:rPr>
          <w:b/>
          <w:bCs/>
          <w:lang w:val="en-US"/>
        </w:rPr>
        <w:t>Study Design, Materials and Methods</w:t>
      </w:r>
    </w:p>
    <w:p w:rsidR="00301FBC" w:rsidRPr="00301FBC" w:rsidRDefault="00301FBC" w:rsidP="00301FBC">
      <w:pPr>
        <w:pStyle w:val="a3"/>
        <w:ind w:firstLine="708"/>
        <w:rPr>
          <w:lang w:val="en-US"/>
        </w:rPr>
      </w:pPr>
      <w:r w:rsidRPr="00301FBC">
        <w:rPr>
          <w:lang w:val="en-US"/>
        </w:rPr>
        <w:t>This study was conducted at the Infectious Diseases Center of the Regional Clinical Hospital of the Karaganda Region Health Department and included data from patients hospitalized with a confirmed diagnosis of COVID-19 between January 2021 and February 2022.</w:t>
      </w:r>
    </w:p>
    <w:p w:rsidR="00301FBC" w:rsidRPr="00301FBC" w:rsidRDefault="00301FBC" w:rsidP="00301FBC">
      <w:pPr>
        <w:pStyle w:val="a3"/>
        <w:ind w:firstLine="708"/>
        <w:rPr>
          <w:lang w:val="en-US"/>
        </w:rPr>
      </w:pPr>
      <w:r w:rsidRPr="00301FBC">
        <w:rPr>
          <w:lang w:val="en-US"/>
        </w:rPr>
        <w:lastRenderedPageBreak/>
        <w:t>The study employed a retrospective single-center observational comparative design with the use of multivariate statistical analysis methods (Figure 1).</w:t>
      </w:r>
    </w:p>
    <w:p w:rsidR="00301FBC" w:rsidRPr="00301FBC" w:rsidRDefault="00301FBC" w:rsidP="00301FBC">
      <w:pPr>
        <w:pStyle w:val="a3"/>
        <w:ind w:firstLine="708"/>
        <w:rPr>
          <w:lang w:val="en-US"/>
        </w:rPr>
      </w:pPr>
      <w:r w:rsidRPr="00301FBC">
        <w:rPr>
          <w:lang w:val="en-US"/>
        </w:rPr>
        <w:t>A sequential analysis was performed of clinical and demographic characteristics, laboratory parameters, disease course features, therapeutic regimens administered, and clinical outcomes.</w:t>
      </w:r>
    </w:p>
    <w:p w:rsidR="00301FBC" w:rsidRPr="00301FBC" w:rsidRDefault="00301FBC" w:rsidP="00301FBC">
      <w:pPr>
        <w:pStyle w:val="a3"/>
        <w:ind w:firstLine="708"/>
        <w:rPr>
          <w:lang w:val="en-US"/>
        </w:rPr>
      </w:pPr>
      <w:r w:rsidRPr="00301FBC">
        <w:rPr>
          <w:lang w:val="en-US"/>
        </w:rPr>
        <w:t>The study population comprised hospitalized patients with laboratory-confirmed SARS-CoV-2 infection verified by polymerase chain reaction (PCR), in the presence of concomitant chronic comorbid conditions.</w:t>
      </w:r>
    </w:p>
    <w:p w:rsidR="00301FBC" w:rsidRPr="00301FBC" w:rsidRDefault="00301FBC" w:rsidP="00301FBC">
      <w:pPr>
        <w:pStyle w:val="a3"/>
        <w:ind w:firstLine="708"/>
        <w:rPr>
          <w:lang w:val="en-US"/>
        </w:rPr>
      </w:pPr>
      <w:r w:rsidRPr="00301FBC">
        <w:rPr>
          <w:lang w:val="en-US"/>
        </w:rPr>
        <w:t>The study was conducted in accordance with the principles of the Declaration of Helsinki and the applicable regulatory requirements of the Republic of Kazakhstan.</w:t>
      </w:r>
    </w:p>
    <w:p w:rsidR="00AA35EB" w:rsidRPr="00AA35EB" w:rsidRDefault="00AA35EB" w:rsidP="00AA35EB">
      <w:pPr>
        <w:widowControl/>
        <w:tabs>
          <w:tab w:val="left" w:pos="851"/>
        </w:tabs>
        <w:autoSpaceDE/>
        <w:autoSpaceDN/>
        <w:jc w:val="both"/>
        <w:rPr>
          <w:b/>
          <w:bCs/>
          <w:sz w:val="28"/>
          <w:szCs w:val="28"/>
          <w:lang w:val="en-US" w:eastAsia="ru-RU"/>
        </w:rPr>
      </w:pPr>
      <w:r w:rsidRPr="00AA35EB">
        <w:rPr>
          <w:b/>
          <w:bCs/>
          <w:sz w:val="28"/>
          <w:szCs w:val="28"/>
          <w:lang w:val="en-US" w:eastAsia="ru-RU"/>
        </w:rPr>
        <w:t>Inclusion criteria:</w:t>
      </w:r>
    </w:p>
    <w:p w:rsidR="00AA35EB" w:rsidRPr="00AA35EB" w:rsidRDefault="002E7313" w:rsidP="00AA35EB">
      <w:pPr>
        <w:widowControl/>
        <w:tabs>
          <w:tab w:val="left" w:pos="851"/>
        </w:tabs>
        <w:autoSpaceDE/>
        <w:autoSpaceDN/>
        <w:jc w:val="both"/>
        <w:rPr>
          <w:bCs/>
          <w:sz w:val="28"/>
          <w:szCs w:val="28"/>
          <w:lang w:val="en-US" w:eastAsia="ru-RU"/>
        </w:rPr>
      </w:pPr>
      <w:r w:rsidRPr="002E7313">
        <w:rPr>
          <w:bCs/>
          <w:sz w:val="28"/>
          <w:szCs w:val="28"/>
          <w:lang w:val="en-US" w:eastAsia="ru-RU"/>
        </w:rPr>
        <w:t xml:space="preserve">– </w:t>
      </w:r>
      <w:r w:rsidR="00AA35EB" w:rsidRPr="00AA35EB">
        <w:rPr>
          <w:bCs/>
          <w:sz w:val="28"/>
          <w:szCs w:val="28"/>
          <w:lang w:val="en-US" w:eastAsia="ru-RU"/>
        </w:rPr>
        <w:t>confirmed COVID-19 diagnosis;</w:t>
      </w:r>
    </w:p>
    <w:p w:rsidR="00AA35EB" w:rsidRPr="00AA35EB" w:rsidRDefault="002E7313" w:rsidP="00AA35EB">
      <w:pPr>
        <w:widowControl/>
        <w:tabs>
          <w:tab w:val="left" w:pos="851"/>
        </w:tabs>
        <w:autoSpaceDE/>
        <w:autoSpaceDN/>
        <w:jc w:val="both"/>
        <w:rPr>
          <w:bCs/>
          <w:sz w:val="28"/>
          <w:szCs w:val="28"/>
          <w:lang w:val="en-US" w:eastAsia="ru-RU"/>
        </w:rPr>
      </w:pPr>
      <w:r w:rsidRPr="002E7313">
        <w:rPr>
          <w:bCs/>
          <w:sz w:val="28"/>
          <w:szCs w:val="28"/>
          <w:lang w:val="en-US" w:eastAsia="ru-RU"/>
        </w:rPr>
        <w:t xml:space="preserve">– </w:t>
      </w:r>
      <w:r w:rsidR="00AA35EB" w:rsidRPr="00AA35EB">
        <w:rPr>
          <w:bCs/>
          <w:sz w:val="28"/>
          <w:szCs w:val="28"/>
          <w:lang w:val="en-US" w:eastAsia="ru-RU"/>
        </w:rPr>
        <w:t>age ≥18 years;</w:t>
      </w:r>
    </w:p>
    <w:p w:rsidR="00AA35EB" w:rsidRPr="00AA35EB" w:rsidRDefault="002E7313" w:rsidP="00AA35EB">
      <w:pPr>
        <w:widowControl/>
        <w:tabs>
          <w:tab w:val="left" w:pos="851"/>
        </w:tabs>
        <w:autoSpaceDE/>
        <w:autoSpaceDN/>
        <w:jc w:val="both"/>
        <w:rPr>
          <w:bCs/>
          <w:sz w:val="28"/>
          <w:szCs w:val="28"/>
          <w:lang w:val="en-US" w:eastAsia="ru-RU"/>
        </w:rPr>
      </w:pPr>
      <w:r w:rsidRPr="002E7313">
        <w:rPr>
          <w:bCs/>
          <w:sz w:val="28"/>
          <w:szCs w:val="28"/>
          <w:lang w:val="en-US" w:eastAsia="ru-RU"/>
        </w:rPr>
        <w:t xml:space="preserve">– </w:t>
      </w:r>
      <w:r w:rsidR="00AA35EB" w:rsidRPr="00AA35EB">
        <w:rPr>
          <w:bCs/>
          <w:sz w:val="28"/>
          <w:szCs w:val="28"/>
          <w:lang w:val="en-US" w:eastAsia="ru-RU"/>
        </w:rPr>
        <w:t>presence of one or more chronic comorbid conditions;</w:t>
      </w:r>
    </w:p>
    <w:p w:rsidR="00AA35EB" w:rsidRPr="00AA35EB" w:rsidRDefault="002E7313" w:rsidP="00AA35EB">
      <w:pPr>
        <w:widowControl/>
        <w:tabs>
          <w:tab w:val="left" w:pos="851"/>
        </w:tabs>
        <w:autoSpaceDE/>
        <w:autoSpaceDN/>
        <w:jc w:val="both"/>
        <w:rPr>
          <w:bCs/>
          <w:sz w:val="28"/>
          <w:szCs w:val="28"/>
          <w:lang w:val="en-US" w:eastAsia="ru-RU"/>
        </w:rPr>
      </w:pPr>
      <w:r w:rsidRPr="002E7313">
        <w:rPr>
          <w:bCs/>
          <w:sz w:val="28"/>
          <w:szCs w:val="28"/>
          <w:lang w:val="en-US" w:eastAsia="ru-RU"/>
        </w:rPr>
        <w:t xml:space="preserve">– </w:t>
      </w:r>
      <w:r w:rsidR="00AA35EB" w:rsidRPr="00AA35EB">
        <w:rPr>
          <w:bCs/>
          <w:sz w:val="28"/>
          <w:szCs w:val="28"/>
          <w:lang w:val="en-US" w:eastAsia="ru-RU"/>
        </w:rPr>
        <w:t>hospitalization in an infectious disease facility;</w:t>
      </w:r>
    </w:p>
    <w:p w:rsidR="00AA35EB" w:rsidRPr="00AA35EB" w:rsidRDefault="002E7313" w:rsidP="00AA35EB">
      <w:pPr>
        <w:widowControl/>
        <w:tabs>
          <w:tab w:val="left" w:pos="851"/>
        </w:tabs>
        <w:autoSpaceDE/>
        <w:autoSpaceDN/>
        <w:jc w:val="both"/>
        <w:rPr>
          <w:bCs/>
          <w:sz w:val="28"/>
          <w:szCs w:val="28"/>
          <w:lang w:val="en-US" w:eastAsia="ru-RU"/>
        </w:rPr>
      </w:pPr>
      <w:r w:rsidRPr="002E7313">
        <w:rPr>
          <w:bCs/>
          <w:sz w:val="28"/>
          <w:szCs w:val="28"/>
          <w:lang w:val="en-US" w:eastAsia="ru-RU"/>
        </w:rPr>
        <w:t xml:space="preserve">– </w:t>
      </w:r>
      <w:r w:rsidR="00AA35EB" w:rsidRPr="00AA35EB">
        <w:rPr>
          <w:bCs/>
          <w:sz w:val="28"/>
          <w:szCs w:val="28"/>
          <w:lang w:val="en-US" w:eastAsia="ru-RU"/>
        </w:rPr>
        <w:t>availability of complete clinical and laboratory data.</w:t>
      </w:r>
    </w:p>
    <w:p w:rsidR="00AA35EB" w:rsidRPr="00AA35EB" w:rsidRDefault="00AA35EB" w:rsidP="002E7313">
      <w:pPr>
        <w:pStyle w:val="a3"/>
        <w:rPr>
          <w:b/>
          <w:bCs/>
          <w:lang w:val="en-US" w:eastAsia="ru-RU"/>
        </w:rPr>
      </w:pPr>
      <w:r w:rsidRPr="00AA35EB">
        <w:rPr>
          <w:b/>
          <w:bCs/>
          <w:lang w:val="en-US" w:eastAsia="ru-RU"/>
        </w:rPr>
        <w:t>Exclusion criteria:</w:t>
      </w:r>
    </w:p>
    <w:p w:rsidR="00AA35EB" w:rsidRPr="00AA35EB" w:rsidRDefault="002E7313" w:rsidP="00AA35EB">
      <w:pPr>
        <w:pStyle w:val="a3"/>
        <w:rPr>
          <w:bCs/>
          <w:lang w:val="en-US" w:eastAsia="ru-RU"/>
        </w:rPr>
      </w:pPr>
      <w:r w:rsidRPr="002E7313">
        <w:rPr>
          <w:bCs/>
          <w:lang w:val="en-US" w:eastAsia="ru-RU"/>
        </w:rPr>
        <w:t xml:space="preserve">– </w:t>
      </w:r>
      <w:r w:rsidR="00AA35EB" w:rsidRPr="00AA35EB">
        <w:rPr>
          <w:bCs/>
          <w:lang w:val="en-US" w:eastAsia="ru-RU"/>
        </w:rPr>
        <w:t>absence of confirmed COVID-19;</w:t>
      </w:r>
    </w:p>
    <w:p w:rsidR="00AA35EB" w:rsidRPr="00AA35EB" w:rsidRDefault="002E7313" w:rsidP="00AA35EB">
      <w:pPr>
        <w:pStyle w:val="a3"/>
        <w:rPr>
          <w:bCs/>
          <w:lang w:val="en-US" w:eastAsia="ru-RU"/>
        </w:rPr>
      </w:pPr>
      <w:r w:rsidRPr="002E7313">
        <w:rPr>
          <w:bCs/>
          <w:lang w:val="en-US" w:eastAsia="ru-RU"/>
        </w:rPr>
        <w:t xml:space="preserve">– </w:t>
      </w:r>
      <w:r w:rsidR="00AA35EB" w:rsidRPr="00AA35EB">
        <w:rPr>
          <w:bCs/>
          <w:lang w:val="en-US" w:eastAsia="ru-RU"/>
        </w:rPr>
        <w:t>mild disease not requiring hospitalization;</w:t>
      </w:r>
    </w:p>
    <w:p w:rsidR="00AA35EB" w:rsidRPr="00AA35EB" w:rsidRDefault="002E7313" w:rsidP="00AA35EB">
      <w:pPr>
        <w:pStyle w:val="a3"/>
        <w:rPr>
          <w:bCs/>
          <w:lang w:val="en-US" w:eastAsia="ru-RU"/>
        </w:rPr>
      </w:pPr>
      <w:r w:rsidRPr="002E7313">
        <w:rPr>
          <w:bCs/>
          <w:lang w:val="en-US" w:eastAsia="ru-RU"/>
        </w:rPr>
        <w:t xml:space="preserve">– </w:t>
      </w:r>
      <w:r w:rsidR="00AA35EB" w:rsidRPr="00AA35EB">
        <w:rPr>
          <w:bCs/>
          <w:lang w:val="en-US" w:eastAsia="ru-RU"/>
        </w:rPr>
        <w:t>incomplete medical records;</w:t>
      </w:r>
    </w:p>
    <w:p w:rsidR="00AA35EB" w:rsidRPr="00AA35EB" w:rsidRDefault="002E7313" w:rsidP="00AA35EB">
      <w:pPr>
        <w:pStyle w:val="a3"/>
        <w:rPr>
          <w:bCs/>
          <w:lang w:val="en-US" w:eastAsia="ru-RU"/>
        </w:rPr>
      </w:pPr>
      <w:r w:rsidRPr="002E7313">
        <w:rPr>
          <w:bCs/>
          <w:lang w:val="en-US" w:eastAsia="ru-RU"/>
        </w:rPr>
        <w:t xml:space="preserve">– </w:t>
      </w:r>
      <w:r w:rsidR="00AA35EB" w:rsidRPr="00AA35EB">
        <w:rPr>
          <w:bCs/>
          <w:lang w:val="en-US" w:eastAsia="ru-RU"/>
        </w:rPr>
        <w:t>age &lt;18 years;</w:t>
      </w:r>
    </w:p>
    <w:p w:rsidR="00AA35EB" w:rsidRPr="00AA35EB" w:rsidRDefault="002E7313" w:rsidP="00AA35EB">
      <w:pPr>
        <w:pStyle w:val="a3"/>
        <w:rPr>
          <w:bCs/>
          <w:lang w:val="en-US" w:eastAsia="ru-RU"/>
        </w:rPr>
      </w:pPr>
      <w:r w:rsidRPr="002E7313">
        <w:rPr>
          <w:bCs/>
          <w:lang w:val="en-US" w:eastAsia="ru-RU"/>
        </w:rPr>
        <w:t xml:space="preserve">– </w:t>
      </w:r>
      <w:r w:rsidR="00AA35EB" w:rsidRPr="00AA35EB">
        <w:rPr>
          <w:bCs/>
          <w:lang w:val="en-US" w:eastAsia="ru-RU"/>
        </w:rPr>
        <w:t>pregnancy at the time of hospitalization.</w:t>
      </w:r>
    </w:p>
    <w:p w:rsidR="00AA35EB" w:rsidRPr="00AA35EB" w:rsidRDefault="00AA35EB" w:rsidP="00AA35EB">
      <w:pPr>
        <w:pStyle w:val="a3"/>
        <w:ind w:firstLine="708"/>
        <w:rPr>
          <w:lang w:val="en-US"/>
        </w:rPr>
      </w:pPr>
      <w:r w:rsidRPr="00AA35EB">
        <w:rPr>
          <w:lang w:val="en-US"/>
        </w:rPr>
        <w:t>Patients were categorized into three clinical groups according to disease severity and outcome:</w:t>
      </w:r>
    </w:p>
    <w:p w:rsidR="00AA35EB" w:rsidRPr="00AA35EB" w:rsidRDefault="002E7313" w:rsidP="00AA35EB">
      <w:pPr>
        <w:pStyle w:val="a3"/>
        <w:rPr>
          <w:lang w:val="en-US"/>
        </w:rPr>
      </w:pPr>
      <w:r w:rsidRPr="002E7313">
        <w:rPr>
          <w:lang w:val="en-US"/>
        </w:rPr>
        <w:t xml:space="preserve">– </w:t>
      </w:r>
      <w:r w:rsidR="00AA35EB" w:rsidRPr="00AA35EB">
        <w:rPr>
          <w:lang w:val="en-US"/>
        </w:rPr>
        <w:t>moderate course (n = 108);</w:t>
      </w:r>
    </w:p>
    <w:p w:rsidR="00AA35EB" w:rsidRPr="00AA35EB" w:rsidRDefault="002E7313" w:rsidP="00AA35EB">
      <w:pPr>
        <w:pStyle w:val="a3"/>
        <w:rPr>
          <w:lang w:val="en-US"/>
        </w:rPr>
      </w:pPr>
      <w:r w:rsidRPr="002E7313">
        <w:rPr>
          <w:lang w:val="en-US"/>
        </w:rPr>
        <w:t xml:space="preserve">– </w:t>
      </w:r>
      <w:r w:rsidR="00AA35EB" w:rsidRPr="00AA35EB">
        <w:rPr>
          <w:lang w:val="en-US"/>
        </w:rPr>
        <w:t>severe course with favorable outcome (n = 80);</w:t>
      </w:r>
    </w:p>
    <w:p w:rsidR="00AA35EB" w:rsidRPr="00AA35EB" w:rsidRDefault="002E7313" w:rsidP="00AA35EB">
      <w:pPr>
        <w:pStyle w:val="a3"/>
        <w:rPr>
          <w:lang w:val="en-US"/>
        </w:rPr>
      </w:pPr>
      <w:r w:rsidRPr="002E7313">
        <w:rPr>
          <w:lang w:val="en-US"/>
        </w:rPr>
        <w:t xml:space="preserve">– </w:t>
      </w:r>
      <w:r w:rsidR="00AA35EB" w:rsidRPr="00AA35EB">
        <w:rPr>
          <w:lang w:val="en-US"/>
        </w:rPr>
        <w:t>severe course with fatal outcome (n = 48).</w:t>
      </w:r>
    </w:p>
    <w:p w:rsidR="00AA35EB" w:rsidRDefault="00AA35EB" w:rsidP="001763C1">
      <w:pPr>
        <w:pStyle w:val="a3"/>
        <w:ind w:firstLine="708"/>
        <w:rPr>
          <w:lang w:val="en-US"/>
        </w:rPr>
      </w:pPr>
      <w:r w:rsidRPr="00AA35EB">
        <w:rPr>
          <w:lang w:val="en-US"/>
        </w:rPr>
        <w:t>The analysis included demographic characteristics, comorbidity structure, length of hospitalization, respiratory insufficiency parameters (SpO₂, need for respiratory support), extent of lung involvement on CT, and dynamic changes in key inflammatory and coagulation markers (C-reactive protein [CRP], lactate dehydrogenase [LDH], D-dimer, ferritin, leukocyte profile). Laboratory parameters were assessed at admission, during hospitalization (days 4–8), and at the end of follow-up.</w:t>
      </w:r>
    </w:p>
    <w:p w:rsidR="00AA35EB" w:rsidRPr="00012B6D" w:rsidRDefault="00AA35EB" w:rsidP="001763C1">
      <w:pPr>
        <w:pStyle w:val="a3"/>
        <w:ind w:firstLine="708"/>
        <w:rPr>
          <w:lang w:val="en-US"/>
        </w:rPr>
      </w:pPr>
      <w:r w:rsidRPr="00AA35EB">
        <w:rPr>
          <w:lang w:val="en-US"/>
        </w:rPr>
        <w:t xml:space="preserve">Statistical analysis was performed using IBM SPSS Statistics software. Due to non-normal distribution of most variables, non-parametric tests (Kruskal–Wallis, Mann–Whitney) were applied. Categorical variables were analyzed using the chi-square test and Fisher’s exact test. Independent predictors of mortality were identified using multivariate logistic regression with calculation of odds ratios (OR) and 95% confidence intervals (CI). Predictive performance was assessed using ROC analysis (AUC). Internal validation was performed using a 70/30 data split. </w:t>
      </w:r>
      <w:r w:rsidRPr="00012B6D">
        <w:rPr>
          <w:lang w:val="en-US"/>
        </w:rPr>
        <w:t>Statistical significance was set at p &lt; 0.05.</w:t>
      </w:r>
    </w:p>
    <w:p w:rsidR="00AA35EB" w:rsidRDefault="00AA35EB" w:rsidP="001763C1">
      <w:pPr>
        <w:pStyle w:val="a3"/>
        <w:ind w:firstLine="708"/>
        <w:rPr>
          <w:lang w:val="en-US"/>
        </w:rPr>
      </w:pPr>
      <w:r w:rsidRPr="00AA35EB">
        <w:rPr>
          <w:lang w:val="en-US"/>
        </w:rPr>
        <w:t xml:space="preserve">Additionally, a pharmacoeconomic analysis of direct medical costs was conducted from the perspective of the public healthcare system. The analysis included cost structure assessment, cost-effectiveness analysis (CER), cost-utility analysis </w:t>
      </w:r>
      <w:r w:rsidRPr="00AA35EB">
        <w:rPr>
          <w:lang w:val="en-US"/>
        </w:rPr>
        <w:lastRenderedPageBreak/>
        <w:t>(CUA, QALY), and calculation of incremental costs associated with the inclusion of remdesivir in the treatment regimen.</w:t>
      </w:r>
    </w:p>
    <w:p w:rsidR="00AA35EB" w:rsidRPr="00012B6D" w:rsidRDefault="00AA35EB" w:rsidP="00AA35EB">
      <w:pPr>
        <w:pStyle w:val="1"/>
        <w:ind w:left="0" w:firstLine="710"/>
        <w:jc w:val="both"/>
        <w:rPr>
          <w:b w:val="0"/>
          <w:bCs w:val="0"/>
          <w:lang w:val="en-US"/>
        </w:rPr>
      </w:pPr>
      <w:r w:rsidRPr="00AA35EB">
        <w:rPr>
          <w:b w:val="0"/>
          <w:bCs w:val="0"/>
          <w:lang w:val="en-US"/>
        </w:rPr>
        <w:t xml:space="preserve">The study was approved by the Local Bioethics Committee and conducted in accordance with the principles of the Declaration of Helsinki. </w:t>
      </w:r>
      <w:r w:rsidRPr="00012B6D">
        <w:rPr>
          <w:b w:val="0"/>
          <w:bCs w:val="0"/>
          <w:lang w:val="en-US"/>
        </w:rPr>
        <w:t>All data were anonymized.</w:t>
      </w:r>
    </w:p>
    <w:p w:rsidR="002E7313" w:rsidRDefault="002E7313" w:rsidP="001763C1">
      <w:pPr>
        <w:pStyle w:val="a3"/>
        <w:rPr>
          <w:b/>
          <w:bCs/>
          <w:spacing w:val="-2"/>
          <w:lang w:val="en-US"/>
        </w:rPr>
      </w:pPr>
    </w:p>
    <w:p w:rsidR="002E7313" w:rsidRDefault="002E7313" w:rsidP="001763C1">
      <w:pPr>
        <w:pStyle w:val="a3"/>
        <w:rPr>
          <w:b/>
          <w:bCs/>
          <w:spacing w:val="-2"/>
          <w:lang w:val="en-US"/>
        </w:rPr>
      </w:pPr>
    </w:p>
    <w:p w:rsidR="00AA35EB" w:rsidRPr="00012B6D" w:rsidRDefault="00AA35EB" w:rsidP="001763C1">
      <w:pPr>
        <w:pStyle w:val="a3"/>
        <w:rPr>
          <w:b/>
          <w:bCs/>
          <w:spacing w:val="-2"/>
          <w:lang w:val="en-US"/>
        </w:rPr>
      </w:pPr>
      <w:r w:rsidRPr="00012B6D">
        <w:rPr>
          <w:b/>
          <w:bCs/>
          <w:spacing w:val="-2"/>
          <w:lang w:val="en-US"/>
        </w:rPr>
        <w:t>Results</w:t>
      </w:r>
    </w:p>
    <w:p w:rsidR="00AA35EB" w:rsidRPr="00AA35EB" w:rsidRDefault="00AA35EB" w:rsidP="002E7313">
      <w:pPr>
        <w:pStyle w:val="a3"/>
        <w:ind w:firstLine="718"/>
        <w:rPr>
          <w:lang w:val="en-US"/>
        </w:rPr>
      </w:pPr>
      <w:r w:rsidRPr="00AA35EB">
        <w:rPr>
          <w:lang w:val="en-US"/>
        </w:rPr>
        <w:t>A total of 236 hospitalized comorbid patients with confirmed SARS-CoV-2 infection were included. The mean age was 65.7 ± 11.6 years; 44.9% had three or more chronic conditions.</w:t>
      </w:r>
    </w:p>
    <w:p w:rsidR="00AA35EB" w:rsidRPr="00AA35EB" w:rsidRDefault="00AA35EB" w:rsidP="002E7313">
      <w:pPr>
        <w:pStyle w:val="a3"/>
        <w:ind w:firstLine="718"/>
        <w:rPr>
          <w:lang w:val="en-US"/>
        </w:rPr>
      </w:pPr>
      <w:r w:rsidRPr="00AA35EB">
        <w:rPr>
          <w:lang w:val="en-US"/>
        </w:rPr>
        <w:t>Severe disease and fatal outcomes developed against a background of pronounced systemic inflammation and coagulation activation.</w:t>
      </w:r>
    </w:p>
    <w:p w:rsidR="00AA35EB" w:rsidRPr="00AA35EB" w:rsidRDefault="00AA35EB" w:rsidP="00AA35EB">
      <w:pPr>
        <w:pStyle w:val="a3"/>
        <w:rPr>
          <w:lang w:val="en-US"/>
        </w:rPr>
      </w:pPr>
      <w:r w:rsidRPr="00AA35EB">
        <w:rPr>
          <w:lang w:val="en-US"/>
        </w:rPr>
        <w:t>Compared with patients with moderate disease, the fatal outcome group demonstrated:</w:t>
      </w:r>
    </w:p>
    <w:p w:rsidR="00AA35EB" w:rsidRPr="00AA35EB" w:rsidRDefault="002E7313" w:rsidP="002E7313">
      <w:pPr>
        <w:pStyle w:val="a3"/>
        <w:rPr>
          <w:lang w:val="en-US"/>
        </w:rPr>
      </w:pPr>
      <w:r w:rsidRPr="002E7313">
        <w:rPr>
          <w:lang w:val="en-US"/>
        </w:rPr>
        <w:t xml:space="preserve">– </w:t>
      </w:r>
      <w:r w:rsidR="00AA35EB" w:rsidRPr="00AA35EB">
        <w:rPr>
          <w:lang w:val="en-US"/>
        </w:rPr>
        <w:t>a 4.86-fold increase in dynamic CRP levels (112.08 vs 23.05 mg/L; p &lt; 0.001);</w:t>
      </w:r>
    </w:p>
    <w:p w:rsidR="00AA35EB" w:rsidRPr="00AA35EB" w:rsidRDefault="002E7313" w:rsidP="002E7313">
      <w:pPr>
        <w:pStyle w:val="a3"/>
        <w:rPr>
          <w:lang w:val="en-US"/>
        </w:rPr>
      </w:pPr>
      <w:r w:rsidRPr="002E7313">
        <w:rPr>
          <w:lang w:val="en-US"/>
        </w:rPr>
        <w:t xml:space="preserve">– </w:t>
      </w:r>
      <w:r w:rsidR="00AA35EB" w:rsidRPr="00AA35EB">
        <w:rPr>
          <w:lang w:val="en-US"/>
        </w:rPr>
        <w:t>a 2.02-fold increase in LDH (616.5 vs 304.5 U/L; p &lt; 0.001);</w:t>
      </w:r>
    </w:p>
    <w:p w:rsidR="00AA35EB" w:rsidRPr="00AA35EB" w:rsidRDefault="002E7313" w:rsidP="002E7313">
      <w:pPr>
        <w:pStyle w:val="a3"/>
        <w:rPr>
          <w:lang w:val="en-US"/>
        </w:rPr>
      </w:pPr>
      <w:r w:rsidRPr="002E7313">
        <w:rPr>
          <w:lang w:val="en-US"/>
        </w:rPr>
        <w:t xml:space="preserve">– </w:t>
      </w:r>
      <w:r w:rsidR="00AA35EB" w:rsidRPr="00AA35EB">
        <w:rPr>
          <w:lang w:val="en-US"/>
        </w:rPr>
        <w:t>a 5.17-fold increase in D-dimer at outcome (1451.5 vs 281 ng/mL; p &lt; 0.001);</w:t>
      </w:r>
    </w:p>
    <w:p w:rsidR="00AA35EB" w:rsidRPr="00AA35EB" w:rsidRDefault="002E7313" w:rsidP="002E7313">
      <w:pPr>
        <w:pStyle w:val="a3"/>
        <w:rPr>
          <w:lang w:val="en-US"/>
        </w:rPr>
      </w:pPr>
      <w:r w:rsidRPr="002E7313">
        <w:rPr>
          <w:lang w:val="en-US"/>
        </w:rPr>
        <w:t xml:space="preserve">– </w:t>
      </w:r>
      <w:r w:rsidR="00AA35EB" w:rsidRPr="00AA35EB">
        <w:rPr>
          <w:lang w:val="en-US"/>
        </w:rPr>
        <w:t>more pronounced lymphopenia at admission (11% vs 20%; p &lt; 0.001).</w:t>
      </w:r>
    </w:p>
    <w:p w:rsidR="00AA35EB" w:rsidRPr="00AA35EB" w:rsidRDefault="00AA35EB" w:rsidP="00AA35EB">
      <w:pPr>
        <w:pStyle w:val="a3"/>
        <w:rPr>
          <w:lang w:val="en-US"/>
        </w:rPr>
      </w:pPr>
      <w:r w:rsidRPr="00AA35EB">
        <w:rPr>
          <w:lang w:val="en-US"/>
        </w:rPr>
        <w:t>Baseline marker levels were less prognostically significant than their dynamic changes.</w:t>
      </w:r>
    </w:p>
    <w:p w:rsidR="004343D6" w:rsidRPr="004343D6" w:rsidRDefault="004343D6" w:rsidP="004343D6">
      <w:pPr>
        <w:pStyle w:val="a3"/>
        <w:rPr>
          <w:lang w:val="en-US"/>
        </w:rPr>
      </w:pPr>
      <w:r w:rsidRPr="004343D6">
        <w:rPr>
          <w:lang w:val="en-US"/>
        </w:rPr>
        <w:t>Multimorbidity (≥3 chronic conditions) was present in 60.4% of patients with fatal outcomes (p = 0.032). Obesity was more frequent in the fatal group (35.4% vs 13%; p = 0.005).</w:t>
      </w:r>
    </w:p>
    <w:p w:rsidR="004343D6" w:rsidRPr="004343D6" w:rsidRDefault="004343D6" w:rsidP="004343D6">
      <w:pPr>
        <w:pStyle w:val="a3"/>
        <w:rPr>
          <w:lang w:val="en-US"/>
        </w:rPr>
      </w:pPr>
      <w:r w:rsidRPr="004343D6">
        <w:rPr>
          <w:lang w:val="en-US"/>
        </w:rPr>
        <w:t>Multivariate logistic regression identified the following independent predictors of mortality:</w:t>
      </w:r>
    </w:p>
    <w:p w:rsidR="004343D6" w:rsidRPr="004343D6" w:rsidRDefault="002E7313" w:rsidP="002E7313">
      <w:pPr>
        <w:pStyle w:val="a3"/>
        <w:rPr>
          <w:lang w:val="en-US"/>
        </w:rPr>
      </w:pPr>
      <w:r w:rsidRPr="002E7313">
        <w:rPr>
          <w:lang w:val="en-US"/>
        </w:rPr>
        <w:t xml:space="preserve">– </w:t>
      </w:r>
      <w:r w:rsidR="004343D6" w:rsidRPr="004343D6">
        <w:rPr>
          <w:lang w:val="en-US"/>
        </w:rPr>
        <w:t>cerebrovascular disease (OR = 4.40; 95% CI: 1.12–18.94; p = 0.037);</w:t>
      </w:r>
    </w:p>
    <w:p w:rsidR="004343D6" w:rsidRPr="004343D6" w:rsidRDefault="002E7313" w:rsidP="002E7313">
      <w:pPr>
        <w:pStyle w:val="a3"/>
        <w:rPr>
          <w:lang w:val="en-US"/>
        </w:rPr>
      </w:pPr>
      <w:r w:rsidRPr="002E7313">
        <w:rPr>
          <w:lang w:val="en-US"/>
        </w:rPr>
        <w:t xml:space="preserve">– </w:t>
      </w:r>
      <w:r w:rsidR="004343D6" w:rsidRPr="004343D6">
        <w:rPr>
          <w:lang w:val="en-US"/>
        </w:rPr>
        <w:t>dynamic increase in CRP (OR = 1.016; p = 0.003);</w:t>
      </w:r>
    </w:p>
    <w:p w:rsidR="004343D6" w:rsidRPr="004343D6" w:rsidRDefault="002E7313" w:rsidP="002E7313">
      <w:pPr>
        <w:pStyle w:val="a3"/>
        <w:rPr>
          <w:lang w:val="en-US"/>
        </w:rPr>
      </w:pPr>
      <w:r w:rsidRPr="002E7313">
        <w:rPr>
          <w:lang w:val="en-US"/>
        </w:rPr>
        <w:t xml:space="preserve">– </w:t>
      </w:r>
      <w:r w:rsidR="004343D6" w:rsidRPr="004343D6">
        <w:rPr>
          <w:lang w:val="en-US"/>
        </w:rPr>
        <w:t>dynamic increase in LDH (OR = 1.001; p = 0.037).</w:t>
      </w:r>
    </w:p>
    <w:p w:rsidR="004343D6" w:rsidRPr="004343D6" w:rsidRDefault="004343D6" w:rsidP="002E7313">
      <w:pPr>
        <w:pStyle w:val="a3"/>
        <w:ind w:firstLine="718"/>
        <w:rPr>
          <w:lang w:val="en-US"/>
        </w:rPr>
      </w:pPr>
      <w:r w:rsidRPr="004343D6">
        <w:rPr>
          <w:lang w:val="en-US"/>
        </w:rPr>
        <w:t>Based on these factors, a prognostic mortality risk model was developed with high discriminative performance (AUC = 0.92), sensitivity 87%, specificity 83% at a cut-off probability of 0.43.</w:t>
      </w:r>
    </w:p>
    <w:p w:rsidR="004343D6" w:rsidRPr="004343D6" w:rsidRDefault="004343D6" w:rsidP="002E7313">
      <w:pPr>
        <w:pStyle w:val="a3"/>
        <w:ind w:firstLine="718"/>
        <w:rPr>
          <w:lang w:val="en-US"/>
        </w:rPr>
      </w:pPr>
      <w:r w:rsidRPr="004343D6">
        <w:rPr>
          <w:lang w:val="en-US"/>
        </w:rPr>
        <w:t>Escalation of therapy reflected increasing disease severity. However, in multivariate analysis, no independent protective effect of dexamethasone, unfractionated heparin, or remdesivir on mortality was identified, as treatment was administered according to clinical indications.</w:t>
      </w:r>
    </w:p>
    <w:p w:rsidR="004343D6" w:rsidRPr="004343D6" w:rsidRDefault="004343D6" w:rsidP="002E7313">
      <w:pPr>
        <w:pStyle w:val="a3"/>
        <w:ind w:firstLine="718"/>
        <w:rPr>
          <w:lang w:val="en-US"/>
        </w:rPr>
      </w:pPr>
      <w:r w:rsidRPr="004343D6">
        <w:rPr>
          <w:lang w:val="en-US"/>
        </w:rPr>
        <w:t>The mean direct medical costs were 675,401 KZT for baseline therapy and 772,891 KZT when remdesivir was included. Incremental costs (</w:t>
      </w:r>
      <w:r w:rsidRPr="004343D6">
        <w:t>Δ</w:t>
      </w:r>
      <w:r w:rsidRPr="004343D6">
        <w:rPr>
          <w:lang w:val="en-US"/>
        </w:rPr>
        <w:t>C) amounted to 97,490 KZT per patient.</w:t>
      </w:r>
    </w:p>
    <w:p w:rsidR="004343D6" w:rsidRPr="004343D6" w:rsidRDefault="004343D6" w:rsidP="004343D6">
      <w:pPr>
        <w:pStyle w:val="a3"/>
        <w:rPr>
          <w:lang w:val="en-US"/>
        </w:rPr>
      </w:pPr>
      <w:r w:rsidRPr="004343D6">
        <w:rPr>
          <w:lang w:val="en-US"/>
        </w:rPr>
        <w:t>Cost-effectiveness ratio (CER):</w:t>
      </w:r>
    </w:p>
    <w:p w:rsidR="004343D6" w:rsidRPr="004343D6" w:rsidRDefault="002E7313" w:rsidP="002E7313">
      <w:pPr>
        <w:pStyle w:val="a3"/>
        <w:ind w:left="720"/>
        <w:rPr>
          <w:lang w:val="en-US"/>
        </w:rPr>
      </w:pPr>
      <w:r w:rsidRPr="002E7313">
        <w:rPr>
          <w:lang w:val="en-US"/>
        </w:rPr>
        <w:t xml:space="preserve">– </w:t>
      </w:r>
      <w:r w:rsidR="004343D6" w:rsidRPr="004343D6">
        <w:rPr>
          <w:lang w:val="en-US"/>
        </w:rPr>
        <w:t>724,821 KZT per clinical improvement without remdesivir;</w:t>
      </w:r>
    </w:p>
    <w:p w:rsidR="004343D6" w:rsidRPr="002E7313" w:rsidRDefault="002E7313" w:rsidP="002E7313">
      <w:pPr>
        <w:pStyle w:val="a3"/>
        <w:ind w:left="720"/>
        <w:rPr>
          <w:lang w:val="en-US"/>
        </w:rPr>
      </w:pPr>
      <w:r w:rsidRPr="002E7313">
        <w:rPr>
          <w:lang w:val="en-US"/>
        </w:rPr>
        <w:t xml:space="preserve">– </w:t>
      </w:r>
      <w:r w:rsidR="004343D6" w:rsidRPr="002E7313">
        <w:rPr>
          <w:lang w:val="en-US"/>
        </w:rPr>
        <w:t>1,009,852 KZT with remdesivir.</w:t>
      </w:r>
    </w:p>
    <w:p w:rsidR="004343D6" w:rsidRPr="002E7313" w:rsidRDefault="004343D6" w:rsidP="004343D6">
      <w:pPr>
        <w:pStyle w:val="a3"/>
        <w:rPr>
          <w:lang w:val="en-US"/>
        </w:rPr>
      </w:pPr>
      <w:r w:rsidRPr="002E7313">
        <w:rPr>
          <w:lang w:val="en-US"/>
        </w:rPr>
        <w:t>Cost per QALY:</w:t>
      </w:r>
    </w:p>
    <w:p w:rsidR="004343D6" w:rsidRPr="002E7313" w:rsidRDefault="002E7313" w:rsidP="002E7313">
      <w:pPr>
        <w:pStyle w:val="a3"/>
        <w:ind w:left="720"/>
        <w:rPr>
          <w:lang w:val="en-US"/>
        </w:rPr>
      </w:pPr>
      <w:r w:rsidRPr="002E7313">
        <w:rPr>
          <w:lang w:val="en-US"/>
        </w:rPr>
        <w:t xml:space="preserve">– </w:t>
      </w:r>
      <w:r w:rsidR="004343D6" w:rsidRPr="002E7313">
        <w:rPr>
          <w:lang w:val="en-US"/>
        </w:rPr>
        <w:t>263,828 KZT without remdesivir;</w:t>
      </w:r>
    </w:p>
    <w:p w:rsidR="004343D6" w:rsidRPr="002E7313" w:rsidRDefault="002E7313" w:rsidP="002E7313">
      <w:pPr>
        <w:pStyle w:val="a3"/>
        <w:ind w:left="720"/>
        <w:rPr>
          <w:lang w:val="en-US"/>
        </w:rPr>
      </w:pPr>
      <w:r w:rsidRPr="002E7313">
        <w:rPr>
          <w:lang w:val="en-US"/>
        </w:rPr>
        <w:t xml:space="preserve">– </w:t>
      </w:r>
      <w:r w:rsidR="004343D6" w:rsidRPr="002E7313">
        <w:rPr>
          <w:lang w:val="en-US"/>
        </w:rPr>
        <w:t>368,995 KZT with remdesivir.</w:t>
      </w:r>
    </w:p>
    <w:p w:rsidR="00AA35EB" w:rsidRPr="00AA35EB" w:rsidRDefault="0065322A" w:rsidP="00AA35EB">
      <w:pPr>
        <w:pStyle w:val="a3"/>
        <w:rPr>
          <w:lang w:val="en-US"/>
        </w:rPr>
      </w:pPr>
      <w:r w:rsidRPr="00012B6D">
        <w:rPr>
          <w:lang w:val="en-US"/>
        </w:rPr>
        <w:lastRenderedPageBreak/>
        <w:tab/>
      </w:r>
      <w:r w:rsidRPr="00AA35EB">
        <w:rPr>
          <w:lang w:val="en-US"/>
        </w:rPr>
        <w:t xml:space="preserve">  </w:t>
      </w:r>
      <w:r w:rsidR="00AA35EB" w:rsidRPr="00AA35EB">
        <w:rPr>
          <w:lang w:val="en-US"/>
        </w:rPr>
        <w:t>Within the framework of the study, two interrelated algorithmic solutions were developed and implemented: a prognostic model for assessing in-hospital mortality risk and a risk-oriented dynamic outpatient follow-up algorithm for COVID-19 convalescents with comorbid conditions.</w:t>
      </w:r>
    </w:p>
    <w:p w:rsidR="00AA35EB" w:rsidRPr="00AA35EB" w:rsidRDefault="002E7313" w:rsidP="00AA35EB">
      <w:pPr>
        <w:pStyle w:val="a3"/>
        <w:rPr>
          <w:lang w:val="en-US"/>
        </w:rPr>
      </w:pPr>
      <w:r w:rsidRPr="002E7313">
        <w:rPr>
          <w:lang w:val="en-US"/>
        </w:rPr>
        <w:t xml:space="preserve"> </w:t>
      </w:r>
      <w:r>
        <w:rPr>
          <w:lang w:val="en-US"/>
        </w:rPr>
        <w:tab/>
      </w:r>
      <w:r w:rsidR="00AA35EB" w:rsidRPr="00AA35EB">
        <w:rPr>
          <w:lang w:val="en-US"/>
        </w:rPr>
        <w:t>The in-hospital prognostic model is based on independently identified clinical and laboratory predictors (presence of cerebrovascular disease, dynamic elevation of C-reactive protein, and dynamic elevation of lactate dehydrogenase) and enables quantitative estimation of an individual patient’s mortality risk. At a probability threshold of p ≥ 0.43, the patient is classified as high risk and requires intensified monitoring, repeated laboratory reassessment, and consideration for transfer to the intensive care unit. The model demonstrates high discriminative performance (AUC = 0.92), supporting its clinical applicability in infectious disease hospital settings.</w:t>
      </w:r>
    </w:p>
    <w:p w:rsidR="00AA35EB" w:rsidRPr="00AA35EB" w:rsidRDefault="00AA35EB" w:rsidP="002E7313">
      <w:pPr>
        <w:pStyle w:val="a3"/>
        <w:ind w:firstLine="718"/>
        <w:rPr>
          <w:lang w:val="en-US"/>
        </w:rPr>
      </w:pPr>
      <w:r w:rsidRPr="00AA35EB">
        <w:rPr>
          <w:lang w:val="en-US"/>
        </w:rPr>
        <w:t xml:space="preserve">At the outpatient stage, a risk-oriented dynamic monitoring algorithm was developed to prevent post-discharge clinical destabilization. </w:t>
      </w:r>
      <w:r w:rsidR="00624199" w:rsidRPr="00677E4A">
        <w:rPr>
          <w:lang w:val="en-US"/>
        </w:rPr>
        <w:t>The algorithm includes an initial follow-up assessmen</w:t>
      </w:r>
      <w:r w:rsidR="00082292">
        <w:rPr>
          <w:lang w:val="en-US"/>
        </w:rPr>
        <w:t>t</w:t>
      </w:r>
      <w:r w:rsidRPr="00AA35EB">
        <w:rPr>
          <w:lang w:val="en-US"/>
        </w:rPr>
        <w:t xml:space="preserve"> within 3–5 days after discharge, evaluation of clinical parameters (symptoms, oxygen saturation, heart rate, blood pressure), dynamic laboratory monitoring (CRP, LDH, and D-dimer when indicated), and differentiated frequency of subsequent visits according to risk level.</w:t>
      </w:r>
    </w:p>
    <w:p w:rsidR="00AA35EB" w:rsidRPr="00AA35EB" w:rsidRDefault="00AA35EB" w:rsidP="00AA35EB">
      <w:pPr>
        <w:pStyle w:val="a3"/>
        <w:rPr>
          <w:lang w:val="en-US"/>
        </w:rPr>
      </w:pPr>
      <w:r w:rsidRPr="00AA35EB">
        <w:rPr>
          <w:lang w:val="en-US"/>
        </w:rPr>
        <w:t>Three risk levels were defined:</w:t>
      </w:r>
    </w:p>
    <w:p w:rsidR="00AA35EB" w:rsidRPr="002E7313" w:rsidRDefault="00AA35EB" w:rsidP="002E7313">
      <w:pPr>
        <w:pStyle w:val="a3"/>
        <w:ind w:left="720"/>
        <w:rPr>
          <w:lang w:val="en-US"/>
        </w:rPr>
      </w:pPr>
      <w:r w:rsidRPr="002E7313">
        <w:rPr>
          <w:bCs/>
          <w:lang w:val="en-US"/>
        </w:rPr>
        <w:t>Low risk</w:t>
      </w:r>
      <w:r w:rsidRPr="002E7313">
        <w:rPr>
          <w:lang w:val="en-US"/>
        </w:rPr>
        <w:t xml:space="preserve"> — clinical stability and absence of laboratory marker progression;</w:t>
      </w:r>
    </w:p>
    <w:p w:rsidR="00AA35EB" w:rsidRPr="002E7313" w:rsidRDefault="00AA35EB" w:rsidP="002E7313">
      <w:pPr>
        <w:pStyle w:val="a3"/>
        <w:ind w:left="720"/>
        <w:rPr>
          <w:lang w:val="en-US"/>
        </w:rPr>
      </w:pPr>
      <w:r w:rsidRPr="002E7313">
        <w:rPr>
          <w:bCs/>
          <w:lang w:val="en-US"/>
        </w:rPr>
        <w:t>Moderate risk</w:t>
      </w:r>
      <w:r w:rsidRPr="002E7313">
        <w:rPr>
          <w:lang w:val="en-US"/>
        </w:rPr>
        <w:t xml:space="preserve"> — presence of one risk factor or moderate laboratory deterioration;</w:t>
      </w:r>
    </w:p>
    <w:p w:rsidR="00AA35EB" w:rsidRPr="00AA35EB" w:rsidRDefault="00AA35EB" w:rsidP="002E7313">
      <w:pPr>
        <w:pStyle w:val="a3"/>
        <w:ind w:left="720"/>
        <w:rPr>
          <w:lang w:val="en-US"/>
        </w:rPr>
      </w:pPr>
      <w:r w:rsidRPr="002E7313">
        <w:rPr>
          <w:bCs/>
          <w:lang w:val="en-US"/>
        </w:rPr>
        <w:t>High risk</w:t>
      </w:r>
      <w:r w:rsidRPr="00AA35EB">
        <w:rPr>
          <w:lang w:val="en-US"/>
        </w:rPr>
        <w:t xml:space="preserve"> — combination of two or more risk factors or signs of clinical worsening.</w:t>
      </w:r>
    </w:p>
    <w:p w:rsidR="00AA35EB" w:rsidRPr="00AA35EB" w:rsidRDefault="00AA35EB" w:rsidP="002E7313">
      <w:pPr>
        <w:pStyle w:val="a3"/>
        <w:ind w:firstLine="718"/>
        <w:rPr>
          <w:lang w:val="en-US"/>
        </w:rPr>
      </w:pPr>
      <w:r w:rsidRPr="00AA35EB">
        <w:rPr>
          <w:lang w:val="en-US"/>
        </w:rPr>
        <w:t>For each category, clear routing criteria were established, including indications for advanced diagnostics, therapy intensification, or rehospitalization. The algorithm standardizes clinical decision-making, enables early identification of high-risk patients, and optimizes hospital workload within the healthcare system.</w:t>
      </w:r>
    </w:p>
    <w:p w:rsidR="00AA35EB" w:rsidRPr="00AA35EB" w:rsidRDefault="00AA35EB" w:rsidP="002E7313">
      <w:pPr>
        <w:pStyle w:val="a3"/>
        <w:ind w:firstLine="565"/>
        <w:rPr>
          <w:lang w:val="en-US"/>
        </w:rPr>
      </w:pPr>
      <w:r w:rsidRPr="00AA35EB">
        <w:rPr>
          <w:lang w:val="en-US"/>
        </w:rPr>
        <w:t>The developed algorithms were registered as intellectual property and implemented in the practice of infectious disease hospitals and primary healthcare institutions, as confirmed by official implementation certificates.</w:t>
      </w:r>
    </w:p>
    <w:p w:rsidR="004343D6" w:rsidRPr="004343D6" w:rsidRDefault="004343D6" w:rsidP="004343D6">
      <w:pPr>
        <w:ind w:firstLine="567"/>
        <w:jc w:val="both"/>
        <w:rPr>
          <w:b/>
          <w:bCs/>
          <w:spacing w:val="-2"/>
          <w:sz w:val="28"/>
          <w:szCs w:val="28"/>
        </w:rPr>
      </w:pPr>
      <w:r w:rsidRPr="004343D6">
        <w:rPr>
          <w:b/>
          <w:bCs/>
          <w:spacing w:val="-2"/>
          <w:sz w:val="28"/>
          <w:szCs w:val="28"/>
        </w:rPr>
        <w:t>Conclusions</w:t>
      </w:r>
    </w:p>
    <w:p w:rsidR="004343D6" w:rsidRPr="004343D6" w:rsidRDefault="004343D6" w:rsidP="004343D6">
      <w:pPr>
        <w:numPr>
          <w:ilvl w:val="0"/>
          <w:numId w:val="30"/>
        </w:numPr>
        <w:jc w:val="both"/>
        <w:rPr>
          <w:spacing w:val="-2"/>
          <w:sz w:val="28"/>
          <w:szCs w:val="28"/>
        </w:rPr>
      </w:pPr>
      <w:r w:rsidRPr="004343D6">
        <w:rPr>
          <w:spacing w:val="-2"/>
          <w:sz w:val="28"/>
          <w:szCs w:val="28"/>
          <w:lang w:val="en-US"/>
        </w:rPr>
        <w:t xml:space="preserve">It was established that in hospitalized comorbid patients with COVID-19, disease severity is significantly associated with progressive elevation of markers of systemic inflammation, coagulation, and tissue damage. In the fatal outcome group compared with patients with moderate disease, dynamic C-reactive protein levels were 4.86 times higher (p &lt; 0.001), lactate dehydrogenase levels were 2.02 times higher (p &lt; 0.001), and D-dimer levels at the time of outcome were 5.17 times higher (p &lt; 0.001). </w:t>
      </w:r>
      <w:r w:rsidRPr="004343D6">
        <w:rPr>
          <w:spacing w:val="-2"/>
          <w:sz w:val="28"/>
          <w:szCs w:val="28"/>
        </w:rPr>
        <w:t xml:space="preserve">More pronounced lymphopenia at </w:t>
      </w:r>
      <w:proofErr w:type="spellStart"/>
      <w:r w:rsidRPr="004343D6">
        <w:rPr>
          <w:spacing w:val="-2"/>
          <w:sz w:val="28"/>
          <w:szCs w:val="28"/>
        </w:rPr>
        <w:t>admission</w:t>
      </w:r>
      <w:proofErr w:type="spellEnd"/>
      <w:r w:rsidRPr="004343D6">
        <w:rPr>
          <w:spacing w:val="-2"/>
          <w:sz w:val="28"/>
          <w:szCs w:val="28"/>
        </w:rPr>
        <w:t xml:space="preserve"> was </w:t>
      </w:r>
      <w:proofErr w:type="spellStart"/>
      <w:r w:rsidRPr="004343D6">
        <w:rPr>
          <w:spacing w:val="-2"/>
          <w:sz w:val="28"/>
          <w:szCs w:val="28"/>
        </w:rPr>
        <w:t>also</w:t>
      </w:r>
      <w:proofErr w:type="spellEnd"/>
      <w:r w:rsidRPr="004343D6">
        <w:rPr>
          <w:spacing w:val="-2"/>
          <w:sz w:val="28"/>
          <w:szCs w:val="28"/>
        </w:rPr>
        <w:t xml:space="preserve"> </w:t>
      </w:r>
      <w:proofErr w:type="spellStart"/>
      <w:r w:rsidRPr="004343D6">
        <w:rPr>
          <w:spacing w:val="-2"/>
          <w:sz w:val="28"/>
          <w:szCs w:val="28"/>
        </w:rPr>
        <w:t>observed</w:t>
      </w:r>
      <w:proofErr w:type="spellEnd"/>
      <w:r w:rsidRPr="004343D6">
        <w:rPr>
          <w:spacing w:val="-2"/>
          <w:sz w:val="28"/>
          <w:szCs w:val="28"/>
        </w:rPr>
        <w:t xml:space="preserve"> (p </w:t>
      </w:r>
      <w:r w:rsidR="002E7313" w:rsidRPr="004343D6">
        <w:rPr>
          <w:spacing w:val="-2"/>
          <w:sz w:val="28"/>
          <w:szCs w:val="28"/>
        </w:rPr>
        <w:t>&lt;0.001</w:t>
      </w:r>
      <w:r w:rsidRPr="004343D6">
        <w:rPr>
          <w:spacing w:val="-2"/>
          <w:sz w:val="28"/>
          <w:szCs w:val="28"/>
        </w:rPr>
        <w:t>).</w:t>
      </w:r>
    </w:p>
    <w:p w:rsidR="004343D6" w:rsidRPr="004343D6" w:rsidRDefault="004343D6" w:rsidP="004343D6">
      <w:pPr>
        <w:numPr>
          <w:ilvl w:val="0"/>
          <w:numId w:val="30"/>
        </w:numPr>
        <w:jc w:val="both"/>
        <w:rPr>
          <w:spacing w:val="-2"/>
          <w:sz w:val="28"/>
          <w:szCs w:val="28"/>
          <w:lang w:val="en-US"/>
        </w:rPr>
      </w:pPr>
      <w:r w:rsidRPr="004343D6">
        <w:rPr>
          <w:spacing w:val="-2"/>
          <w:sz w:val="28"/>
          <w:szCs w:val="28"/>
          <w:lang w:val="en-US"/>
        </w:rPr>
        <w:t xml:space="preserve">Adverse outcomes in hospitalized comorbid patients with COVID-19 are determined by pronounced multimorbidity and the presence of cerebrovascular disease as clinically significant risk factors. Three or more chronic conditions were identified in 60.4% of patients with fatal outcomes compared with 41.7% and 40.0% in patients with favorable disease progression (p = 0.032), confirming </w:t>
      </w:r>
      <w:r w:rsidRPr="004343D6">
        <w:rPr>
          <w:spacing w:val="-2"/>
          <w:sz w:val="28"/>
          <w:szCs w:val="28"/>
          <w:lang w:val="en-US"/>
        </w:rPr>
        <w:lastRenderedPageBreak/>
        <w:t>the significant impact of multimorbidity on prognosis. Multivariate logistic regression demonstrated that independent predictors of mortality were cerebrovascular disease (OR = 4.40; 95% CI: 1.12–18.94; p = 0.037), dynamic elevation of C-reactive protein (OR = 1.016; p = 0.003), and dynamic elevation of lactate dehydrogenase (OR = 1.001; p = 0.037). Based on these factors, a prognostic model with high discriminative performance (AUC = 0.92), sensitivity of 87%, and specificity of 83% was developed.</w:t>
      </w:r>
    </w:p>
    <w:p w:rsidR="004343D6" w:rsidRPr="004343D6" w:rsidRDefault="004343D6" w:rsidP="004343D6">
      <w:pPr>
        <w:numPr>
          <w:ilvl w:val="0"/>
          <w:numId w:val="30"/>
        </w:numPr>
        <w:jc w:val="both"/>
        <w:rPr>
          <w:spacing w:val="-2"/>
          <w:sz w:val="28"/>
          <w:szCs w:val="28"/>
          <w:lang w:val="en-US"/>
        </w:rPr>
      </w:pPr>
      <w:r w:rsidRPr="004343D6">
        <w:rPr>
          <w:spacing w:val="-2"/>
          <w:sz w:val="28"/>
          <w:szCs w:val="28"/>
          <w:lang w:val="en-US"/>
        </w:rPr>
        <w:t>It was demonstrated that increasing disease severity in hospitalized comorbid patients with COVID-19 was associated with statistically significant escalation of etiopathogenetic therapy. Dexamethasone was administered 1.36 times more frequently in patients with fatal outcomes compared with those with moderate disease (89.6% vs 65.7%; p = 0.001), unfractionated heparin 3.1 times more frequently (70.8% vs 23.1%; p &lt; 0.001), and remdesivir more frequently in the fatal group (93.8% vs 76.9%; p = 0.03). Therapy escalation reflected baseline clinical severity and was prescribed according to strict clinical indications. Multivariate analysis did not demonstrate an independent protective effect of these medications on mortality risk.</w:t>
      </w:r>
    </w:p>
    <w:p w:rsidR="004343D6" w:rsidRPr="004343D6" w:rsidRDefault="004343D6" w:rsidP="004343D6">
      <w:pPr>
        <w:numPr>
          <w:ilvl w:val="0"/>
          <w:numId w:val="30"/>
        </w:numPr>
        <w:jc w:val="both"/>
        <w:rPr>
          <w:spacing w:val="-2"/>
          <w:sz w:val="28"/>
          <w:szCs w:val="28"/>
          <w:lang w:val="en-US"/>
        </w:rPr>
      </w:pPr>
      <w:r w:rsidRPr="004343D6">
        <w:rPr>
          <w:spacing w:val="-2"/>
          <w:sz w:val="28"/>
          <w:szCs w:val="28"/>
          <w:lang w:val="en-US"/>
        </w:rPr>
        <w:t>Inclusion of remdesivir in the treatment regimen increased direct medical costs by 14.4%, corresponding to incremental expenses of 97,490 KZT per patient. The cost-effectiveness ratio was 1,009,852 KZT per clinical improvement with remdesivir and 724,821 KZT without remdesivir. The cost-utility ratio was 368,995 KZT per QALY with remdesivir and 263,828 KZT without remdesivir. The calculated relative risk of mortality in the remdesivir group (RR = 3.44) was attributable to baseline severity differences between groups and does not indicate a causal relationship between remdesivir therapy and mortality.</w:t>
      </w:r>
    </w:p>
    <w:p w:rsidR="004343D6" w:rsidRDefault="004343D6" w:rsidP="004343D6">
      <w:pPr>
        <w:numPr>
          <w:ilvl w:val="0"/>
          <w:numId w:val="30"/>
        </w:numPr>
        <w:jc w:val="both"/>
        <w:rPr>
          <w:spacing w:val="-2"/>
          <w:sz w:val="28"/>
          <w:szCs w:val="28"/>
          <w:lang w:val="en-US"/>
        </w:rPr>
      </w:pPr>
      <w:r w:rsidRPr="004343D6">
        <w:rPr>
          <w:spacing w:val="-2"/>
          <w:sz w:val="28"/>
          <w:szCs w:val="28"/>
          <w:lang w:val="en-US"/>
        </w:rPr>
        <w:t xml:space="preserve">A risk-oriented dynamic outpatient monitoring algorithm for COVID-19 convalescents with comorbid conditions was developed. </w:t>
      </w:r>
      <w:r w:rsidR="00F5178E" w:rsidRPr="00F5178E">
        <w:rPr>
          <w:spacing w:val="-2"/>
          <w:sz w:val="28"/>
          <w:szCs w:val="28"/>
          <w:lang w:val="en-US"/>
        </w:rPr>
        <w:t>The algorithm provides for an initial follow-up</w:t>
      </w:r>
      <w:r w:rsidRPr="004343D6">
        <w:rPr>
          <w:spacing w:val="-2"/>
          <w:sz w:val="28"/>
          <w:szCs w:val="28"/>
          <w:lang w:val="en-US"/>
        </w:rPr>
        <w:t xml:space="preserve"> within 3–5 days after hospital discharge and differentiated monitoring intervals (every 3–5, 7–10, or 14 days) depending on individual risk level. Implementation of the algorithm facilitates early detection of clinical destabilization and optimization of patient routing in the outpatient setting.</w:t>
      </w:r>
    </w:p>
    <w:p w:rsidR="004343D6" w:rsidRDefault="004343D6" w:rsidP="004343D6">
      <w:pPr>
        <w:ind w:left="720"/>
        <w:jc w:val="both"/>
        <w:rPr>
          <w:spacing w:val="-2"/>
          <w:sz w:val="28"/>
          <w:szCs w:val="28"/>
          <w:lang w:val="en-US"/>
        </w:rPr>
      </w:pPr>
    </w:p>
    <w:p w:rsidR="002E7313" w:rsidRDefault="002E7313" w:rsidP="004343D6">
      <w:pPr>
        <w:ind w:left="720"/>
        <w:jc w:val="both"/>
        <w:rPr>
          <w:spacing w:val="-2"/>
          <w:sz w:val="28"/>
          <w:szCs w:val="28"/>
          <w:lang w:val="en-US"/>
        </w:rPr>
      </w:pPr>
    </w:p>
    <w:p w:rsidR="00F5178E" w:rsidRDefault="00F5178E" w:rsidP="004343D6">
      <w:pPr>
        <w:ind w:left="720"/>
        <w:jc w:val="both"/>
        <w:rPr>
          <w:spacing w:val="-2"/>
          <w:sz w:val="28"/>
          <w:szCs w:val="28"/>
          <w:lang w:val="en-US"/>
        </w:rPr>
      </w:pPr>
    </w:p>
    <w:p w:rsidR="00F5178E" w:rsidRDefault="00F5178E" w:rsidP="004343D6">
      <w:pPr>
        <w:ind w:left="720"/>
        <w:jc w:val="both"/>
        <w:rPr>
          <w:spacing w:val="-2"/>
          <w:sz w:val="28"/>
          <w:szCs w:val="28"/>
          <w:lang w:val="en-US"/>
        </w:rPr>
      </w:pPr>
    </w:p>
    <w:p w:rsidR="00F5178E" w:rsidRDefault="00F5178E" w:rsidP="004343D6">
      <w:pPr>
        <w:ind w:left="720"/>
        <w:jc w:val="both"/>
        <w:rPr>
          <w:spacing w:val="-2"/>
          <w:sz w:val="28"/>
          <w:szCs w:val="28"/>
          <w:lang w:val="en-US"/>
        </w:rPr>
      </w:pPr>
    </w:p>
    <w:p w:rsidR="00F5178E" w:rsidRDefault="00F5178E" w:rsidP="004343D6">
      <w:pPr>
        <w:ind w:left="720"/>
        <w:jc w:val="both"/>
        <w:rPr>
          <w:spacing w:val="-2"/>
          <w:sz w:val="28"/>
          <w:szCs w:val="28"/>
          <w:lang w:val="en-US"/>
        </w:rPr>
      </w:pPr>
    </w:p>
    <w:p w:rsidR="00F5178E" w:rsidRDefault="00F5178E" w:rsidP="004343D6">
      <w:pPr>
        <w:ind w:left="720"/>
        <w:jc w:val="both"/>
        <w:rPr>
          <w:spacing w:val="-2"/>
          <w:sz w:val="28"/>
          <w:szCs w:val="28"/>
          <w:lang w:val="en-US"/>
        </w:rPr>
      </w:pPr>
    </w:p>
    <w:p w:rsidR="00F5178E" w:rsidRDefault="00F5178E" w:rsidP="004343D6">
      <w:pPr>
        <w:ind w:left="720"/>
        <w:jc w:val="both"/>
        <w:rPr>
          <w:spacing w:val="-2"/>
          <w:sz w:val="28"/>
          <w:szCs w:val="28"/>
          <w:lang w:val="en-US"/>
        </w:rPr>
      </w:pPr>
    </w:p>
    <w:p w:rsidR="00F5178E" w:rsidRDefault="00F5178E" w:rsidP="004343D6">
      <w:pPr>
        <w:ind w:left="720"/>
        <w:jc w:val="both"/>
        <w:rPr>
          <w:spacing w:val="-2"/>
          <w:sz w:val="28"/>
          <w:szCs w:val="28"/>
          <w:lang w:val="en-US"/>
        </w:rPr>
      </w:pPr>
    </w:p>
    <w:p w:rsidR="00F5178E" w:rsidRDefault="00F5178E" w:rsidP="004343D6">
      <w:pPr>
        <w:ind w:left="720"/>
        <w:jc w:val="both"/>
        <w:rPr>
          <w:spacing w:val="-2"/>
          <w:sz w:val="28"/>
          <w:szCs w:val="28"/>
          <w:lang w:val="en-US"/>
        </w:rPr>
      </w:pPr>
    </w:p>
    <w:p w:rsidR="00F5178E" w:rsidRDefault="00F5178E" w:rsidP="004343D6">
      <w:pPr>
        <w:ind w:left="720"/>
        <w:jc w:val="both"/>
        <w:rPr>
          <w:spacing w:val="-2"/>
          <w:sz w:val="28"/>
          <w:szCs w:val="28"/>
          <w:lang w:val="en-US"/>
        </w:rPr>
      </w:pPr>
    </w:p>
    <w:p w:rsidR="00F5178E" w:rsidRDefault="00F5178E" w:rsidP="004343D6">
      <w:pPr>
        <w:ind w:left="720"/>
        <w:jc w:val="both"/>
        <w:rPr>
          <w:spacing w:val="-2"/>
          <w:sz w:val="28"/>
          <w:szCs w:val="28"/>
          <w:lang w:val="en-US"/>
        </w:rPr>
      </w:pPr>
    </w:p>
    <w:p w:rsidR="002E7313" w:rsidRPr="004343D6" w:rsidRDefault="002E7313" w:rsidP="004343D6">
      <w:pPr>
        <w:ind w:left="720"/>
        <w:jc w:val="both"/>
        <w:rPr>
          <w:spacing w:val="-2"/>
          <w:sz w:val="28"/>
          <w:szCs w:val="28"/>
          <w:lang w:val="en-US"/>
        </w:rPr>
      </w:pPr>
    </w:p>
    <w:p w:rsidR="000D4809" w:rsidRDefault="004343D6" w:rsidP="000D4809">
      <w:pPr>
        <w:jc w:val="both"/>
        <w:rPr>
          <w:b/>
          <w:bCs/>
          <w:sz w:val="28"/>
          <w:szCs w:val="28"/>
        </w:rPr>
      </w:pPr>
      <w:proofErr w:type="spellStart"/>
      <w:r w:rsidRPr="004343D6">
        <w:rPr>
          <w:b/>
          <w:bCs/>
          <w:sz w:val="28"/>
          <w:szCs w:val="28"/>
        </w:rPr>
        <w:lastRenderedPageBreak/>
        <w:t>References</w:t>
      </w:r>
      <w:proofErr w:type="spellEnd"/>
    </w:p>
    <w:p w:rsidR="00057393" w:rsidRDefault="00057393" w:rsidP="000D4809">
      <w:pPr>
        <w:pStyle w:val="a5"/>
        <w:numPr>
          <w:ilvl w:val="0"/>
          <w:numId w:val="14"/>
        </w:numPr>
        <w:tabs>
          <w:tab w:val="left" w:pos="993"/>
        </w:tabs>
        <w:spacing w:before="0" w:beforeAutospacing="0" w:after="0" w:afterAutospacing="0"/>
        <w:ind w:left="0" w:firstLine="567"/>
        <w:jc w:val="both"/>
        <w:rPr>
          <w:sz w:val="28"/>
          <w:szCs w:val="28"/>
          <w:lang w:val="en-US"/>
        </w:rPr>
      </w:pPr>
      <w:proofErr w:type="spellStart"/>
      <w:r w:rsidRPr="00057393">
        <w:rPr>
          <w:sz w:val="28"/>
          <w:szCs w:val="28"/>
          <w:lang w:val="en-US"/>
        </w:rPr>
        <w:t>Koelle</w:t>
      </w:r>
      <w:proofErr w:type="spellEnd"/>
      <w:r w:rsidRPr="00057393">
        <w:rPr>
          <w:sz w:val="28"/>
          <w:szCs w:val="28"/>
          <w:lang w:val="en-US"/>
        </w:rPr>
        <w:t xml:space="preserve"> K., Martin M.A., </w:t>
      </w:r>
      <w:proofErr w:type="spellStart"/>
      <w:r w:rsidRPr="00057393">
        <w:rPr>
          <w:sz w:val="28"/>
          <w:szCs w:val="28"/>
          <w:lang w:val="en-US"/>
        </w:rPr>
        <w:t>Antia</w:t>
      </w:r>
      <w:proofErr w:type="spellEnd"/>
      <w:r w:rsidRPr="00057393">
        <w:rPr>
          <w:sz w:val="28"/>
          <w:szCs w:val="28"/>
          <w:lang w:val="en-US"/>
        </w:rPr>
        <w:t xml:space="preserve"> R. et al. The changing epidemiology of SARS-CoV-2 // Science. – 2022. – Vol. 375. – P. 1116–1121.</w:t>
      </w:r>
    </w:p>
    <w:p w:rsidR="00E3354B" w:rsidRDefault="00E3354B" w:rsidP="000D4809">
      <w:pPr>
        <w:pStyle w:val="a5"/>
        <w:numPr>
          <w:ilvl w:val="0"/>
          <w:numId w:val="14"/>
        </w:numPr>
        <w:tabs>
          <w:tab w:val="left" w:pos="993"/>
        </w:tabs>
        <w:spacing w:before="0" w:beforeAutospacing="0" w:after="0" w:afterAutospacing="0"/>
        <w:ind w:left="0" w:firstLine="567"/>
        <w:jc w:val="both"/>
        <w:rPr>
          <w:sz w:val="28"/>
          <w:szCs w:val="28"/>
          <w:lang w:val="en-US"/>
        </w:rPr>
      </w:pPr>
      <w:proofErr w:type="spellStart"/>
      <w:r w:rsidRPr="00E3354B">
        <w:rPr>
          <w:sz w:val="28"/>
          <w:szCs w:val="28"/>
          <w:lang w:val="en-US"/>
        </w:rPr>
        <w:t>Carabelli</w:t>
      </w:r>
      <w:proofErr w:type="spellEnd"/>
      <w:r w:rsidRPr="00E3354B">
        <w:rPr>
          <w:sz w:val="28"/>
          <w:szCs w:val="28"/>
          <w:lang w:val="en-US"/>
        </w:rPr>
        <w:t xml:space="preserve"> A.M., Peacock T.P., Thorne L.G. </w:t>
      </w:r>
      <w:r w:rsidR="004343D6" w:rsidRPr="004343D6">
        <w:rPr>
          <w:sz w:val="28"/>
          <w:szCs w:val="28"/>
          <w:lang w:val="en-US"/>
        </w:rPr>
        <w:t>et al.</w:t>
      </w:r>
      <w:r w:rsidRPr="00E3354B">
        <w:rPr>
          <w:sz w:val="28"/>
          <w:szCs w:val="28"/>
          <w:lang w:val="en-US"/>
        </w:rPr>
        <w:t xml:space="preserve"> SARS-CoV-2 variant biology: immune escape, transmission and pathogenesis // Nature Reviews Microbiology. – 2023. – Vol. 21, No. 5. – P. 315–327. </w:t>
      </w:r>
    </w:p>
    <w:p w:rsidR="00E3354B" w:rsidRPr="002566D9" w:rsidRDefault="00E3354B" w:rsidP="00E64D11">
      <w:pPr>
        <w:pStyle w:val="a5"/>
        <w:numPr>
          <w:ilvl w:val="0"/>
          <w:numId w:val="14"/>
        </w:numPr>
        <w:tabs>
          <w:tab w:val="left" w:pos="993"/>
        </w:tabs>
        <w:spacing w:before="0" w:beforeAutospacing="0" w:after="0" w:afterAutospacing="0"/>
        <w:ind w:left="0" w:firstLine="567"/>
        <w:jc w:val="both"/>
        <w:rPr>
          <w:sz w:val="28"/>
          <w:szCs w:val="28"/>
          <w:lang w:val="en-US"/>
        </w:rPr>
      </w:pPr>
      <w:r w:rsidRPr="00E3354B">
        <w:rPr>
          <w:sz w:val="28"/>
          <w:szCs w:val="28"/>
          <w:lang w:val="en-US"/>
        </w:rPr>
        <w:t xml:space="preserve">Davis H.E., </w:t>
      </w:r>
      <w:proofErr w:type="spellStart"/>
      <w:r w:rsidRPr="00E3354B">
        <w:rPr>
          <w:sz w:val="28"/>
          <w:szCs w:val="28"/>
          <w:lang w:val="en-US"/>
        </w:rPr>
        <w:t>McCorkell</w:t>
      </w:r>
      <w:proofErr w:type="spellEnd"/>
      <w:r w:rsidRPr="00E3354B">
        <w:rPr>
          <w:sz w:val="28"/>
          <w:szCs w:val="28"/>
          <w:lang w:val="en-US"/>
        </w:rPr>
        <w:t xml:space="preserve"> L., Vogel J.M., </w:t>
      </w:r>
      <w:bookmarkStart w:id="1" w:name="_Hlk222695706"/>
      <w:r w:rsidR="004343D6" w:rsidRPr="004343D6">
        <w:rPr>
          <w:sz w:val="28"/>
          <w:szCs w:val="28"/>
          <w:lang w:val="en-US"/>
        </w:rPr>
        <w:t>et al</w:t>
      </w:r>
      <w:bookmarkEnd w:id="1"/>
      <w:r w:rsidR="004343D6" w:rsidRPr="004343D6">
        <w:rPr>
          <w:sz w:val="28"/>
          <w:szCs w:val="28"/>
          <w:lang w:val="en-US"/>
        </w:rPr>
        <w:t>.</w:t>
      </w:r>
      <w:r w:rsidRPr="00E3354B">
        <w:rPr>
          <w:sz w:val="28"/>
          <w:szCs w:val="28"/>
          <w:lang w:val="en-US"/>
        </w:rPr>
        <w:t xml:space="preserve"> Long COVID: major findings, mechanisms and recommendations // Nature Reviews Microbiology. – 2023. – Vol. 21, No. 3. – P. 133–146. </w:t>
      </w:r>
    </w:p>
    <w:p w:rsidR="000D4809" w:rsidRPr="00E3354B" w:rsidRDefault="00E3354B" w:rsidP="00E64D11">
      <w:pPr>
        <w:pStyle w:val="a5"/>
        <w:numPr>
          <w:ilvl w:val="0"/>
          <w:numId w:val="14"/>
        </w:numPr>
        <w:tabs>
          <w:tab w:val="left" w:pos="993"/>
        </w:tabs>
        <w:spacing w:before="0" w:beforeAutospacing="0" w:after="0" w:afterAutospacing="0"/>
        <w:ind w:left="0" w:firstLine="567"/>
        <w:jc w:val="both"/>
        <w:rPr>
          <w:sz w:val="28"/>
          <w:szCs w:val="28"/>
          <w:lang w:val="en-US"/>
        </w:rPr>
      </w:pPr>
      <w:r w:rsidRPr="00E3354B">
        <w:rPr>
          <w:sz w:val="28"/>
          <w:szCs w:val="28"/>
          <w:lang w:val="en-US"/>
        </w:rPr>
        <w:t xml:space="preserve">Wang H., Paulson K.R., Pease S.A. </w:t>
      </w:r>
      <w:r w:rsidR="004343D6" w:rsidRPr="004343D6">
        <w:rPr>
          <w:sz w:val="28"/>
          <w:szCs w:val="28"/>
          <w:lang w:val="en-US"/>
        </w:rPr>
        <w:t>et al</w:t>
      </w:r>
      <w:r w:rsidRPr="00E3354B">
        <w:rPr>
          <w:sz w:val="28"/>
          <w:szCs w:val="28"/>
          <w:lang w:val="en-US"/>
        </w:rPr>
        <w:t>. Estimating global excess mortality due to the COVID-19 pandemic, 2020–2021 // The Lancet. – 2022. – Vol. 399. – P. 1513–1536. – DOI: 10.1016/S0140-6736(21)02796-3.</w:t>
      </w:r>
    </w:p>
    <w:p w:rsidR="004343D6" w:rsidRPr="004343D6" w:rsidRDefault="004343D6" w:rsidP="000D4809">
      <w:pPr>
        <w:widowControl/>
        <w:numPr>
          <w:ilvl w:val="0"/>
          <w:numId w:val="14"/>
        </w:numPr>
        <w:tabs>
          <w:tab w:val="left" w:pos="993"/>
        </w:tabs>
        <w:autoSpaceDE/>
        <w:autoSpaceDN/>
        <w:ind w:left="0" w:firstLine="567"/>
        <w:contextualSpacing/>
        <w:jc w:val="both"/>
        <w:rPr>
          <w:bCs/>
          <w:sz w:val="28"/>
          <w:szCs w:val="28"/>
          <w:lang w:val="en-US"/>
        </w:rPr>
      </w:pPr>
      <w:r w:rsidRPr="004343D6">
        <w:rPr>
          <w:sz w:val="28"/>
          <w:szCs w:val="28"/>
          <w:lang w:val="en-US" w:eastAsia="ru-RU"/>
        </w:rPr>
        <w:t xml:space="preserve">World Health Organization. WHO Coronavirus (COVID-19) Dashboard [Internet]. Geneva: World Health Organization; 2024 [cited 2025 Dec 15]. Available from: </w:t>
      </w:r>
      <w:r w:rsidR="00311F26">
        <w:fldChar w:fldCharType="begin"/>
      </w:r>
      <w:r w:rsidR="00311F26" w:rsidRPr="00311F26">
        <w:rPr>
          <w:lang w:val="en-US"/>
        </w:rPr>
        <w:instrText xml:space="preserve"> HYPERLINK "https://covid19.who.int" </w:instrText>
      </w:r>
      <w:r w:rsidR="00311F26">
        <w:fldChar w:fldCharType="separate"/>
      </w:r>
      <w:r w:rsidRPr="00A54733">
        <w:rPr>
          <w:rStyle w:val="a6"/>
          <w:sz w:val="28"/>
          <w:szCs w:val="28"/>
          <w:lang w:val="en-US" w:eastAsia="ru-RU"/>
        </w:rPr>
        <w:t>https://covid19.who.int</w:t>
      </w:r>
      <w:r w:rsidR="00311F26">
        <w:rPr>
          <w:rStyle w:val="a6"/>
          <w:sz w:val="28"/>
          <w:szCs w:val="28"/>
          <w:lang w:val="en-US" w:eastAsia="ru-RU"/>
        </w:rPr>
        <w:fldChar w:fldCharType="end"/>
      </w:r>
    </w:p>
    <w:p w:rsidR="002566D9" w:rsidRDefault="002566D9" w:rsidP="000D4809">
      <w:pPr>
        <w:widowControl/>
        <w:numPr>
          <w:ilvl w:val="0"/>
          <w:numId w:val="14"/>
        </w:numPr>
        <w:tabs>
          <w:tab w:val="left" w:pos="993"/>
        </w:tabs>
        <w:autoSpaceDE/>
        <w:autoSpaceDN/>
        <w:ind w:left="0" w:firstLine="567"/>
        <w:contextualSpacing/>
        <w:jc w:val="both"/>
        <w:rPr>
          <w:bCs/>
          <w:sz w:val="28"/>
          <w:szCs w:val="28"/>
          <w:lang w:val="en-US"/>
        </w:rPr>
      </w:pPr>
      <w:r w:rsidRPr="002566D9">
        <w:rPr>
          <w:bCs/>
          <w:sz w:val="28"/>
          <w:szCs w:val="28"/>
          <w:lang w:val="en-US"/>
        </w:rPr>
        <w:t xml:space="preserve">Williamson E.J., Walker A.J., </w:t>
      </w:r>
      <w:proofErr w:type="spellStart"/>
      <w:r w:rsidRPr="002566D9">
        <w:rPr>
          <w:bCs/>
          <w:sz w:val="28"/>
          <w:szCs w:val="28"/>
          <w:lang w:val="en-US"/>
        </w:rPr>
        <w:t>Bhaskaran</w:t>
      </w:r>
      <w:proofErr w:type="spellEnd"/>
      <w:r w:rsidRPr="002566D9">
        <w:rPr>
          <w:bCs/>
          <w:sz w:val="28"/>
          <w:szCs w:val="28"/>
          <w:lang w:val="en-US"/>
        </w:rPr>
        <w:t xml:space="preserve"> K. </w:t>
      </w:r>
      <w:r w:rsidR="004343D6" w:rsidRPr="004343D6">
        <w:rPr>
          <w:bCs/>
          <w:sz w:val="28"/>
          <w:szCs w:val="28"/>
          <w:lang w:val="en-US"/>
        </w:rPr>
        <w:t>et al</w:t>
      </w:r>
      <w:r w:rsidRPr="002566D9">
        <w:rPr>
          <w:bCs/>
          <w:sz w:val="28"/>
          <w:szCs w:val="28"/>
          <w:lang w:val="en-US"/>
        </w:rPr>
        <w:t xml:space="preserve">. Factors associated with COVID-19-related death using </w:t>
      </w:r>
      <w:proofErr w:type="spellStart"/>
      <w:r w:rsidRPr="002566D9">
        <w:rPr>
          <w:bCs/>
          <w:sz w:val="28"/>
          <w:szCs w:val="28"/>
          <w:lang w:val="en-US"/>
        </w:rPr>
        <w:t>OpenSAFELY</w:t>
      </w:r>
      <w:proofErr w:type="spellEnd"/>
      <w:r w:rsidRPr="002566D9">
        <w:rPr>
          <w:bCs/>
          <w:sz w:val="28"/>
          <w:szCs w:val="28"/>
          <w:lang w:val="en-US"/>
        </w:rPr>
        <w:t xml:space="preserve"> // Nature. – 2022. – Vol. 584. – P. 430–436. </w:t>
      </w:r>
    </w:p>
    <w:p w:rsidR="000D4809" w:rsidRPr="00E3354B" w:rsidRDefault="00E3354B" w:rsidP="000D4809">
      <w:pPr>
        <w:widowControl/>
        <w:numPr>
          <w:ilvl w:val="0"/>
          <w:numId w:val="14"/>
        </w:numPr>
        <w:tabs>
          <w:tab w:val="left" w:pos="993"/>
        </w:tabs>
        <w:autoSpaceDE/>
        <w:autoSpaceDN/>
        <w:ind w:left="0" w:firstLine="567"/>
        <w:contextualSpacing/>
        <w:jc w:val="both"/>
        <w:rPr>
          <w:bCs/>
          <w:sz w:val="28"/>
          <w:szCs w:val="28"/>
          <w:lang w:val="en-US"/>
        </w:rPr>
      </w:pPr>
      <w:r w:rsidRPr="00E3354B">
        <w:rPr>
          <w:bCs/>
          <w:sz w:val="28"/>
          <w:szCs w:val="28"/>
          <w:lang w:val="en-US"/>
        </w:rPr>
        <w:t xml:space="preserve">Cho H., Lee Y., Kim J., et al. Obesity and mortality in patients with COVID-19: a systematic review and meta-analysis of prospective cohort studies // </w:t>
      </w:r>
      <w:r w:rsidRPr="00E3354B">
        <w:rPr>
          <w:bCs/>
          <w:i/>
          <w:iCs/>
          <w:sz w:val="28"/>
          <w:szCs w:val="28"/>
          <w:lang w:val="en-US"/>
        </w:rPr>
        <w:t>Frontiers in Medicine</w:t>
      </w:r>
      <w:r w:rsidRPr="00E3354B">
        <w:rPr>
          <w:bCs/>
          <w:sz w:val="28"/>
          <w:szCs w:val="28"/>
          <w:lang w:val="en-US"/>
        </w:rPr>
        <w:t>. – 2024. – Article 11170013</w:t>
      </w:r>
      <w:r w:rsidR="000D4809" w:rsidRPr="00E3354B">
        <w:rPr>
          <w:bCs/>
          <w:sz w:val="28"/>
          <w:szCs w:val="28"/>
          <w:lang w:val="en-US"/>
        </w:rPr>
        <w:t>.</w:t>
      </w:r>
    </w:p>
    <w:p w:rsidR="000D4809" w:rsidRPr="000D4809" w:rsidRDefault="00F643B3" w:rsidP="000D4809">
      <w:pPr>
        <w:widowControl/>
        <w:numPr>
          <w:ilvl w:val="0"/>
          <w:numId w:val="14"/>
        </w:numPr>
        <w:tabs>
          <w:tab w:val="left" w:pos="993"/>
        </w:tabs>
        <w:autoSpaceDE/>
        <w:autoSpaceDN/>
        <w:ind w:left="0" w:firstLine="567"/>
        <w:contextualSpacing/>
        <w:jc w:val="both"/>
        <w:rPr>
          <w:bCs/>
          <w:sz w:val="28"/>
          <w:szCs w:val="28"/>
          <w:lang w:val="en-US"/>
        </w:rPr>
      </w:pPr>
      <w:proofErr w:type="spellStart"/>
      <w:r w:rsidRPr="00F643B3">
        <w:rPr>
          <w:bCs/>
          <w:sz w:val="28"/>
          <w:szCs w:val="28"/>
          <w:lang w:val="en-US"/>
        </w:rPr>
        <w:t>Nigatu</w:t>
      </w:r>
      <w:proofErr w:type="spellEnd"/>
      <w:r w:rsidRPr="00F643B3">
        <w:rPr>
          <w:bCs/>
          <w:sz w:val="28"/>
          <w:szCs w:val="28"/>
          <w:lang w:val="en-US"/>
        </w:rPr>
        <w:t xml:space="preserve"> B.Z., Dessie N.T. Prevalence of comorbidities and their association with disease severity and mortality in COVID-19 patients: a systematic review and meta-analysis // </w:t>
      </w:r>
      <w:r w:rsidRPr="00F643B3">
        <w:rPr>
          <w:bCs/>
          <w:iCs/>
          <w:sz w:val="28"/>
          <w:szCs w:val="28"/>
          <w:lang w:val="en-US"/>
        </w:rPr>
        <w:t>Journal of Multimorbidity and Comorbidity</w:t>
      </w:r>
      <w:r w:rsidRPr="00F643B3">
        <w:rPr>
          <w:bCs/>
          <w:sz w:val="28"/>
          <w:szCs w:val="28"/>
          <w:lang w:val="en-US"/>
        </w:rPr>
        <w:t>. – 2025. – Vol. 15. – Article: 26335565251371256.</w:t>
      </w:r>
    </w:p>
    <w:p w:rsidR="000D4809" w:rsidRPr="000D4809" w:rsidRDefault="00F643B3" w:rsidP="000D4809">
      <w:pPr>
        <w:widowControl/>
        <w:numPr>
          <w:ilvl w:val="0"/>
          <w:numId w:val="14"/>
        </w:numPr>
        <w:tabs>
          <w:tab w:val="left" w:pos="993"/>
        </w:tabs>
        <w:autoSpaceDE/>
        <w:autoSpaceDN/>
        <w:ind w:left="0" w:firstLine="567"/>
        <w:contextualSpacing/>
        <w:jc w:val="both"/>
        <w:rPr>
          <w:bCs/>
          <w:sz w:val="28"/>
          <w:szCs w:val="28"/>
          <w:lang w:val="en-US"/>
        </w:rPr>
      </w:pPr>
      <w:r w:rsidRPr="00F643B3">
        <w:rPr>
          <w:bCs/>
          <w:sz w:val="28"/>
          <w:szCs w:val="28"/>
          <w:lang w:val="en-US"/>
        </w:rPr>
        <w:t xml:space="preserve">Chapman A.R., Kistler P.M., Lee K.K., et al. Risk of severe outcomes from COVID-19 in comorbid populations: a meta-analytical evaluation // </w:t>
      </w:r>
      <w:r w:rsidRPr="00F643B3">
        <w:rPr>
          <w:bCs/>
          <w:i/>
          <w:iCs/>
          <w:sz w:val="28"/>
          <w:szCs w:val="28"/>
          <w:lang w:val="en-US"/>
        </w:rPr>
        <w:t xml:space="preserve">Global </w:t>
      </w:r>
      <w:r w:rsidRPr="00F643B3">
        <w:rPr>
          <w:bCs/>
          <w:iCs/>
          <w:sz w:val="28"/>
          <w:szCs w:val="28"/>
          <w:lang w:val="en-US"/>
        </w:rPr>
        <w:t>Epidemiology</w:t>
      </w:r>
      <w:r w:rsidRPr="00F643B3">
        <w:rPr>
          <w:bCs/>
          <w:sz w:val="28"/>
          <w:szCs w:val="28"/>
          <w:lang w:val="en-US"/>
        </w:rPr>
        <w:t xml:space="preserve">. – 2025. – Vol. 8. – P. 15–39. </w:t>
      </w:r>
    </w:p>
    <w:p w:rsidR="00B411B0" w:rsidRPr="00B411B0" w:rsidRDefault="000D4809" w:rsidP="00E64D11">
      <w:pPr>
        <w:widowControl/>
        <w:numPr>
          <w:ilvl w:val="0"/>
          <w:numId w:val="14"/>
        </w:numPr>
        <w:tabs>
          <w:tab w:val="left" w:pos="993"/>
        </w:tabs>
        <w:autoSpaceDE/>
        <w:autoSpaceDN/>
        <w:ind w:left="0" w:firstLine="567"/>
        <w:contextualSpacing/>
        <w:jc w:val="both"/>
        <w:rPr>
          <w:bCs/>
          <w:sz w:val="28"/>
          <w:szCs w:val="28"/>
          <w:lang w:val="en-US"/>
        </w:rPr>
      </w:pPr>
      <w:r w:rsidRPr="00B411B0">
        <w:rPr>
          <w:bCs/>
          <w:sz w:val="28"/>
          <w:szCs w:val="28"/>
          <w:lang w:val="en-US"/>
        </w:rPr>
        <w:t xml:space="preserve"> </w:t>
      </w:r>
      <w:proofErr w:type="spellStart"/>
      <w:r w:rsidR="00B411B0" w:rsidRPr="00B411B0">
        <w:rPr>
          <w:sz w:val="28"/>
          <w:szCs w:val="28"/>
          <w:lang w:val="en-US" w:eastAsia="ru-RU"/>
        </w:rPr>
        <w:t>Shcherbak</w:t>
      </w:r>
      <w:proofErr w:type="spellEnd"/>
      <w:r w:rsidR="00B411B0" w:rsidRPr="00B411B0">
        <w:rPr>
          <w:sz w:val="28"/>
          <w:szCs w:val="28"/>
          <w:lang w:val="en-US" w:eastAsia="ru-RU"/>
        </w:rPr>
        <w:t xml:space="preserve"> S. G., </w:t>
      </w:r>
      <w:proofErr w:type="spellStart"/>
      <w:r w:rsidR="00B411B0" w:rsidRPr="00B411B0">
        <w:rPr>
          <w:sz w:val="28"/>
          <w:szCs w:val="28"/>
          <w:lang w:val="en-US" w:eastAsia="ru-RU"/>
        </w:rPr>
        <w:t>Sarana</w:t>
      </w:r>
      <w:proofErr w:type="spellEnd"/>
      <w:r w:rsidR="00B411B0" w:rsidRPr="00B411B0">
        <w:rPr>
          <w:sz w:val="28"/>
          <w:szCs w:val="28"/>
          <w:lang w:val="en-US" w:eastAsia="ru-RU"/>
        </w:rPr>
        <w:t xml:space="preserve"> A. M., </w:t>
      </w:r>
      <w:proofErr w:type="spellStart"/>
      <w:r w:rsidR="00B411B0" w:rsidRPr="00B411B0">
        <w:rPr>
          <w:sz w:val="28"/>
          <w:szCs w:val="28"/>
          <w:lang w:val="en-US" w:eastAsia="ru-RU"/>
        </w:rPr>
        <w:t>Anisenkova</w:t>
      </w:r>
      <w:proofErr w:type="spellEnd"/>
      <w:r w:rsidR="00B411B0" w:rsidRPr="00B411B0">
        <w:rPr>
          <w:sz w:val="28"/>
          <w:szCs w:val="28"/>
          <w:lang w:val="en-US" w:eastAsia="ru-RU"/>
        </w:rPr>
        <w:t xml:space="preserve"> A. Yu., et al. Influence of comorbidities on the severity of COVID-19: a systematic review // University Therapeutic Bulletin. – 2024. – Vol. 6, No. 1. – P. 26–48.</w:t>
      </w:r>
    </w:p>
    <w:p w:rsidR="000D4809" w:rsidRPr="00B411B0" w:rsidRDefault="000D4809" w:rsidP="00E64D11">
      <w:pPr>
        <w:widowControl/>
        <w:numPr>
          <w:ilvl w:val="0"/>
          <w:numId w:val="14"/>
        </w:numPr>
        <w:tabs>
          <w:tab w:val="left" w:pos="993"/>
        </w:tabs>
        <w:autoSpaceDE/>
        <w:autoSpaceDN/>
        <w:ind w:left="0" w:firstLine="567"/>
        <w:contextualSpacing/>
        <w:jc w:val="both"/>
        <w:rPr>
          <w:bCs/>
          <w:sz w:val="28"/>
          <w:szCs w:val="28"/>
          <w:lang w:val="en-US"/>
        </w:rPr>
      </w:pPr>
      <w:r w:rsidRPr="00B411B0">
        <w:rPr>
          <w:bCs/>
          <w:sz w:val="28"/>
          <w:szCs w:val="28"/>
          <w:lang w:val="en-US"/>
        </w:rPr>
        <w:t xml:space="preserve"> </w:t>
      </w:r>
      <w:proofErr w:type="spellStart"/>
      <w:r w:rsidRPr="00B411B0">
        <w:rPr>
          <w:bCs/>
          <w:sz w:val="28"/>
          <w:szCs w:val="28"/>
          <w:lang w:val="en-US"/>
        </w:rPr>
        <w:t>Gasmi</w:t>
      </w:r>
      <w:proofErr w:type="spellEnd"/>
      <w:r w:rsidRPr="00B411B0">
        <w:rPr>
          <w:bCs/>
          <w:sz w:val="28"/>
          <w:szCs w:val="28"/>
          <w:lang w:val="en-US"/>
        </w:rPr>
        <w:t xml:space="preserve"> A., </w:t>
      </w:r>
      <w:proofErr w:type="spellStart"/>
      <w:r w:rsidRPr="00B411B0">
        <w:rPr>
          <w:bCs/>
          <w:sz w:val="28"/>
          <w:szCs w:val="28"/>
          <w:lang w:val="en-US"/>
        </w:rPr>
        <w:t>Peana</w:t>
      </w:r>
      <w:proofErr w:type="spellEnd"/>
      <w:r w:rsidRPr="00B411B0">
        <w:rPr>
          <w:bCs/>
          <w:sz w:val="28"/>
          <w:szCs w:val="28"/>
          <w:lang w:val="en-US"/>
        </w:rPr>
        <w:t xml:space="preserve"> M., </w:t>
      </w:r>
      <w:proofErr w:type="spellStart"/>
      <w:r w:rsidRPr="00B411B0">
        <w:rPr>
          <w:bCs/>
          <w:sz w:val="28"/>
          <w:szCs w:val="28"/>
          <w:lang w:val="en-US"/>
        </w:rPr>
        <w:t>Pivina</w:t>
      </w:r>
      <w:proofErr w:type="spellEnd"/>
      <w:r w:rsidRPr="00B411B0">
        <w:rPr>
          <w:bCs/>
          <w:sz w:val="28"/>
          <w:szCs w:val="28"/>
          <w:lang w:val="en-US"/>
        </w:rPr>
        <w:t xml:space="preserve"> L. et al. Interrelations between COVID-19 and other disorders // Clinical Immunology. – 2021. – Vol. 224. – P. 108651.</w:t>
      </w:r>
    </w:p>
    <w:p w:rsidR="000D4809" w:rsidRPr="000D4809" w:rsidRDefault="000D4809" w:rsidP="000D4809">
      <w:pPr>
        <w:widowControl/>
        <w:numPr>
          <w:ilvl w:val="0"/>
          <w:numId w:val="14"/>
        </w:numPr>
        <w:tabs>
          <w:tab w:val="left" w:pos="993"/>
        </w:tabs>
        <w:autoSpaceDE/>
        <w:autoSpaceDN/>
        <w:ind w:left="0" w:firstLine="567"/>
        <w:contextualSpacing/>
        <w:jc w:val="both"/>
        <w:rPr>
          <w:bCs/>
          <w:sz w:val="28"/>
          <w:szCs w:val="28"/>
          <w:lang w:val="en-US"/>
        </w:rPr>
      </w:pPr>
      <w:r w:rsidRPr="000D4809">
        <w:rPr>
          <w:bCs/>
          <w:sz w:val="28"/>
          <w:szCs w:val="28"/>
          <w:lang w:val="en-US"/>
        </w:rPr>
        <w:t xml:space="preserve"> Del </w:t>
      </w:r>
      <w:proofErr w:type="spellStart"/>
      <w:r w:rsidRPr="000D4809">
        <w:rPr>
          <w:bCs/>
          <w:sz w:val="28"/>
          <w:szCs w:val="28"/>
          <w:lang w:val="en-US"/>
        </w:rPr>
        <w:t>Sole</w:t>
      </w:r>
      <w:proofErr w:type="spellEnd"/>
      <w:r w:rsidRPr="000D4809">
        <w:rPr>
          <w:bCs/>
          <w:sz w:val="28"/>
          <w:szCs w:val="28"/>
          <w:lang w:val="en-US"/>
        </w:rPr>
        <w:t xml:space="preserve"> F., </w:t>
      </w:r>
      <w:proofErr w:type="spellStart"/>
      <w:r w:rsidRPr="000D4809">
        <w:rPr>
          <w:bCs/>
          <w:sz w:val="28"/>
          <w:szCs w:val="28"/>
          <w:lang w:val="en-US"/>
        </w:rPr>
        <w:t>Farcomeni</w:t>
      </w:r>
      <w:proofErr w:type="spellEnd"/>
      <w:r w:rsidRPr="000D4809">
        <w:rPr>
          <w:bCs/>
          <w:sz w:val="28"/>
          <w:szCs w:val="28"/>
          <w:lang w:val="en-US"/>
        </w:rPr>
        <w:t xml:space="preserve"> A., Loffredo L. et al. Features of severe COVID-19: a systematic review and meta-analysis // European Journal of Clinical Investigation. – 2020. – Vol. 50, No. 10. – e13378.</w:t>
      </w:r>
    </w:p>
    <w:p w:rsidR="00B411B0" w:rsidRDefault="00B411B0" w:rsidP="00E64D11">
      <w:pPr>
        <w:widowControl/>
        <w:numPr>
          <w:ilvl w:val="0"/>
          <w:numId w:val="14"/>
        </w:numPr>
        <w:tabs>
          <w:tab w:val="left" w:pos="993"/>
        </w:tabs>
        <w:autoSpaceDE/>
        <w:autoSpaceDN/>
        <w:ind w:left="0" w:firstLine="567"/>
        <w:contextualSpacing/>
        <w:jc w:val="both"/>
        <w:rPr>
          <w:bCs/>
          <w:sz w:val="28"/>
          <w:szCs w:val="28"/>
          <w:lang w:val="en-US"/>
        </w:rPr>
      </w:pPr>
      <w:r w:rsidRPr="00B411B0">
        <w:rPr>
          <w:bCs/>
          <w:sz w:val="28"/>
          <w:szCs w:val="28"/>
          <w:lang w:val="en-US"/>
        </w:rPr>
        <w:t xml:space="preserve">Molochkov A. V., </w:t>
      </w:r>
      <w:proofErr w:type="spellStart"/>
      <w:r w:rsidRPr="00B411B0">
        <w:rPr>
          <w:bCs/>
          <w:sz w:val="28"/>
          <w:szCs w:val="28"/>
          <w:lang w:val="en-US"/>
        </w:rPr>
        <w:t>Karateev</w:t>
      </w:r>
      <w:proofErr w:type="spellEnd"/>
      <w:r w:rsidRPr="00B411B0">
        <w:rPr>
          <w:bCs/>
          <w:sz w:val="28"/>
          <w:szCs w:val="28"/>
          <w:lang w:val="en-US"/>
        </w:rPr>
        <w:t xml:space="preserve"> D. E., </w:t>
      </w:r>
      <w:proofErr w:type="spellStart"/>
      <w:r w:rsidRPr="00B411B0">
        <w:rPr>
          <w:bCs/>
          <w:sz w:val="28"/>
          <w:szCs w:val="28"/>
          <w:lang w:val="en-US"/>
        </w:rPr>
        <w:t>Ogneva</w:t>
      </w:r>
      <w:proofErr w:type="spellEnd"/>
      <w:r w:rsidRPr="00B411B0">
        <w:rPr>
          <w:bCs/>
          <w:sz w:val="28"/>
          <w:szCs w:val="28"/>
          <w:lang w:val="en-US"/>
        </w:rPr>
        <w:t xml:space="preserve"> E. Yu., </w:t>
      </w:r>
      <w:bookmarkStart w:id="2" w:name="_Hlk222695846"/>
      <w:r w:rsidRPr="00B411B0">
        <w:rPr>
          <w:bCs/>
          <w:sz w:val="28"/>
          <w:szCs w:val="28"/>
          <w:lang w:val="en-US"/>
        </w:rPr>
        <w:t>et al</w:t>
      </w:r>
      <w:bookmarkEnd w:id="2"/>
      <w:r w:rsidRPr="00B411B0">
        <w:rPr>
          <w:bCs/>
          <w:sz w:val="28"/>
          <w:szCs w:val="28"/>
          <w:lang w:val="en-US"/>
        </w:rPr>
        <w:t>. Comorbidity and prognosis of COVID-19 outcomes: results of treatment of 13,585 patients hospitalized in the Moscow region // Annals of Clinical and Experimental Medicine. – 2020. – Vol. 48, Suppl. 1. – P. 1–10.</w:t>
      </w:r>
    </w:p>
    <w:p w:rsidR="000D4809" w:rsidRPr="00F6720A" w:rsidRDefault="000D4809" w:rsidP="00E64D11">
      <w:pPr>
        <w:widowControl/>
        <w:numPr>
          <w:ilvl w:val="0"/>
          <w:numId w:val="14"/>
        </w:numPr>
        <w:tabs>
          <w:tab w:val="left" w:pos="993"/>
        </w:tabs>
        <w:autoSpaceDE/>
        <w:autoSpaceDN/>
        <w:ind w:left="0" w:firstLine="567"/>
        <w:contextualSpacing/>
        <w:jc w:val="both"/>
        <w:rPr>
          <w:bCs/>
          <w:sz w:val="28"/>
          <w:szCs w:val="28"/>
          <w:lang w:val="en-US"/>
        </w:rPr>
      </w:pPr>
      <w:r w:rsidRPr="00F6720A">
        <w:rPr>
          <w:bCs/>
          <w:sz w:val="28"/>
          <w:szCs w:val="28"/>
          <w:lang w:val="en-US"/>
        </w:rPr>
        <w:t xml:space="preserve"> </w:t>
      </w:r>
      <w:r w:rsidR="005B2A2F" w:rsidRPr="005B2A2F">
        <w:rPr>
          <w:bCs/>
          <w:sz w:val="28"/>
          <w:szCs w:val="28"/>
          <w:lang w:val="en-US"/>
        </w:rPr>
        <w:t xml:space="preserve">Li C., Zhang Y., Wang Y. </w:t>
      </w:r>
      <w:r w:rsidR="00B411B0" w:rsidRPr="00B411B0">
        <w:rPr>
          <w:bCs/>
          <w:sz w:val="28"/>
          <w:szCs w:val="28"/>
          <w:lang w:val="en-US"/>
        </w:rPr>
        <w:t>et al</w:t>
      </w:r>
      <w:r w:rsidR="005B2A2F" w:rsidRPr="005B2A2F">
        <w:rPr>
          <w:bCs/>
          <w:sz w:val="28"/>
          <w:szCs w:val="28"/>
          <w:lang w:val="en-US"/>
        </w:rPr>
        <w:t>. Associations of diabetes, hypertension and obesity with COVID-19 mortality: a systematic review and meta-analysis // BMJ Global Health. – 2023. – Vol. 8, No. 12. – e012581. – DOI: 10.1136/bmjgh-2023-012581</w:t>
      </w:r>
      <w:r w:rsidRPr="00F6720A">
        <w:rPr>
          <w:bCs/>
          <w:sz w:val="28"/>
          <w:szCs w:val="28"/>
          <w:lang w:val="en-US"/>
        </w:rPr>
        <w:t>.</w:t>
      </w:r>
    </w:p>
    <w:p w:rsidR="000D4809" w:rsidRPr="000D4809" w:rsidRDefault="000D4809" w:rsidP="000D4809">
      <w:pPr>
        <w:widowControl/>
        <w:numPr>
          <w:ilvl w:val="0"/>
          <w:numId w:val="14"/>
        </w:numPr>
        <w:tabs>
          <w:tab w:val="left" w:pos="993"/>
        </w:tabs>
        <w:autoSpaceDE/>
        <w:autoSpaceDN/>
        <w:ind w:left="0" w:firstLine="567"/>
        <w:contextualSpacing/>
        <w:jc w:val="both"/>
        <w:rPr>
          <w:bCs/>
          <w:sz w:val="28"/>
          <w:szCs w:val="28"/>
          <w:lang w:val="en-US"/>
        </w:rPr>
      </w:pPr>
      <w:r w:rsidRPr="000D4809">
        <w:rPr>
          <w:bCs/>
          <w:sz w:val="28"/>
          <w:szCs w:val="28"/>
          <w:lang w:val="en-US"/>
        </w:rPr>
        <w:lastRenderedPageBreak/>
        <w:t xml:space="preserve"> </w:t>
      </w:r>
      <w:proofErr w:type="spellStart"/>
      <w:r w:rsidR="00F44051" w:rsidRPr="00F44051">
        <w:rPr>
          <w:bCs/>
          <w:sz w:val="28"/>
          <w:szCs w:val="28"/>
          <w:lang w:val="en-US"/>
        </w:rPr>
        <w:t>Xie</w:t>
      </w:r>
      <w:proofErr w:type="spellEnd"/>
      <w:r w:rsidR="00F44051" w:rsidRPr="00F44051">
        <w:rPr>
          <w:bCs/>
          <w:sz w:val="28"/>
          <w:szCs w:val="28"/>
          <w:lang w:val="en-US"/>
        </w:rPr>
        <w:t xml:space="preserve"> Y., Choi T., Al-Aly Z. Risks of severe outcomes among patients with multiple comorbidities and COVID-19 // Nature Medicine. – 2023. – Vol. 29. – P. 1234–1242</w:t>
      </w:r>
      <w:r w:rsidR="005B2A2F" w:rsidRPr="005B2A2F">
        <w:rPr>
          <w:bCs/>
          <w:sz w:val="28"/>
          <w:szCs w:val="28"/>
          <w:lang w:val="en-US"/>
        </w:rPr>
        <w:t>.</w:t>
      </w:r>
    </w:p>
    <w:p w:rsidR="005B2A2F" w:rsidRDefault="000D4809" w:rsidP="00E64D11">
      <w:pPr>
        <w:widowControl/>
        <w:numPr>
          <w:ilvl w:val="0"/>
          <w:numId w:val="14"/>
        </w:numPr>
        <w:tabs>
          <w:tab w:val="left" w:pos="993"/>
        </w:tabs>
        <w:autoSpaceDE/>
        <w:autoSpaceDN/>
        <w:ind w:left="0" w:firstLine="567"/>
        <w:contextualSpacing/>
        <w:jc w:val="both"/>
        <w:rPr>
          <w:bCs/>
          <w:sz w:val="28"/>
          <w:szCs w:val="28"/>
          <w:lang w:val="en-US"/>
        </w:rPr>
      </w:pPr>
      <w:r w:rsidRPr="005B2A2F">
        <w:rPr>
          <w:bCs/>
          <w:sz w:val="28"/>
          <w:szCs w:val="28"/>
          <w:lang w:val="en-US"/>
        </w:rPr>
        <w:t xml:space="preserve"> </w:t>
      </w:r>
      <w:r w:rsidR="005B2A2F" w:rsidRPr="005B2A2F">
        <w:rPr>
          <w:bCs/>
          <w:sz w:val="28"/>
          <w:szCs w:val="28"/>
          <w:lang w:val="en-US"/>
        </w:rPr>
        <w:t xml:space="preserve">Tay M.Z., </w:t>
      </w:r>
      <w:proofErr w:type="spellStart"/>
      <w:r w:rsidR="005B2A2F" w:rsidRPr="005B2A2F">
        <w:rPr>
          <w:bCs/>
          <w:sz w:val="28"/>
          <w:szCs w:val="28"/>
          <w:lang w:val="en-US"/>
        </w:rPr>
        <w:t>Poh</w:t>
      </w:r>
      <w:proofErr w:type="spellEnd"/>
      <w:r w:rsidR="005B2A2F" w:rsidRPr="005B2A2F">
        <w:rPr>
          <w:bCs/>
          <w:sz w:val="28"/>
          <w:szCs w:val="28"/>
          <w:lang w:val="en-US"/>
        </w:rPr>
        <w:t xml:space="preserve"> C.M., </w:t>
      </w:r>
      <w:proofErr w:type="spellStart"/>
      <w:r w:rsidR="005B2A2F" w:rsidRPr="005B2A2F">
        <w:rPr>
          <w:bCs/>
          <w:sz w:val="28"/>
          <w:szCs w:val="28"/>
          <w:lang w:val="en-US"/>
        </w:rPr>
        <w:t>Rénia</w:t>
      </w:r>
      <w:proofErr w:type="spellEnd"/>
      <w:r w:rsidR="005B2A2F" w:rsidRPr="005B2A2F">
        <w:rPr>
          <w:bCs/>
          <w:sz w:val="28"/>
          <w:szCs w:val="28"/>
          <w:lang w:val="en-US"/>
        </w:rPr>
        <w:t xml:space="preserve"> L. </w:t>
      </w:r>
      <w:r w:rsidR="00B411B0" w:rsidRPr="00B411B0">
        <w:rPr>
          <w:bCs/>
          <w:sz w:val="28"/>
          <w:szCs w:val="28"/>
          <w:lang w:val="en-US"/>
        </w:rPr>
        <w:t>et al</w:t>
      </w:r>
      <w:r w:rsidR="005B2A2F" w:rsidRPr="005B2A2F">
        <w:rPr>
          <w:bCs/>
          <w:sz w:val="28"/>
          <w:szCs w:val="28"/>
          <w:lang w:val="en-US"/>
        </w:rPr>
        <w:t>. The trinity of COVID-19: immunity, inflammation and intervention // Nature Reviews Immunology. – 2022. – Vol. 22. – P. 99–111.</w:t>
      </w:r>
    </w:p>
    <w:p w:rsidR="00AD6C50" w:rsidRDefault="000D4809" w:rsidP="00AD6C50">
      <w:pPr>
        <w:pStyle w:val="a4"/>
        <w:numPr>
          <w:ilvl w:val="0"/>
          <w:numId w:val="14"/>
        </w:numPr>
        <w:tabs>
          <w:tab w:val="left" w:pos="993"/>
        </w:tabs>
        <w:ind w:left="142" w:firstLine="425"/>
        <w:rPr>
          <w:bCs/>
          <w:sz w:val="28"/>
          <w:szCs w:val="28"/>
          <w:lang w:val="en-US"/>
        </w:rPr>
      </w:pPr>
      <w:r w:rsidRPr="00AD6C50">
        <w:rPr>
          <w:bCs/>
          <w:sz w:val="28"/>
          <w:szCs w:val="28"/>
          <w:lang w:val="en-US"/>
        </w:rPr>
        <w:t xml:space="preserve"> </w:t>
      </w:r>
      <w:proofErr w:type="spellStart"/>
      <w:r w:rsidR="001763C1" w:rsidRPr="00AD6C50">
        <w:rPr>
          <w:bCs/>
          <w:sz w:val="28"/>
          <w:szCs w:val="28"/>
          <w:lang w:val="en-US"/>
        </w:rPr>
        <w:t>Merad</w:t>
      </w:r>
      <w:proofErr w:type="spellEnd"/>
      <w:r w:rsidR="001763C1" w:rsidRPr="00AD6C50">
        <w:rPr>
          <w:bCs/>
          <w:sz w:val="28"/>
          <w:szCs w:val="28"/>
          <w:lang w:val="en-US"/>
        </w:rPr>
        <w:t xml:space="preserve"> M., </w:t>
      </w:r>
      <w:proofErr w:type="spellStart"/>
      <w:r w:rsidR="001763C1" w:rsidRPr="00AD6C50">
        <w:rPr>
          <w:bCs/>
          <w:sz w:val="28"/>
          <w:szCs w:val="28"/>
          <w:lang w:val="en-US"/>
        </w:rPr>
        <w:t>Blish</w:t>
      </w:r>
      <w:proofErr w:type="spellEnd"/>
      <w:r w:rsidR="001763C1" w:rsidRPr="00AD6C50">
        <w:rPr>
          <w:bCs/>
          <w:sz w:val="28"/>
          <w:szCs w:val="28"/>
          <w:lang w:val="en-US"/>
        </w:rPr>
        <w:t xml:space="preserve"> C.A., </w:t>
      </w:r>
      <w:proofErr w:type="spellStart"/>
      <w:r w:rsidR="001763C1" w:rsidRPr="00AD6C50">
        <w:rPr>
          <w:bCs/>
          <w:sz w:val="28"/>
          <w:szCs w:val="28"/>
          <w:lang w:val="en-US"/>
        </w:rPr>
        <w:t>Sallusto</w:t>
      </w:r>
      <w:proofErr w:type="spellEnd"/>
      <w:r w:rsidR="001763C1" w:rsidRPr="00AD6C50">
        <w:rPr>
          <w:bCs/>
          <w:sz w:val="28"/>
          <w:szCs w:val="28"/>
          <w:lang w:val="en-US"/>
        </w:rPr>
        <w:t xml:space="preserve"> F.,</w:t>
      </w:r>
      <w:r w:rsidR="00B411B0" w:rsidRPr="00B411B0">
        <w:rPr>
          <w:bCs/>
          <w:sz w:val="28"/>
          <w:szCs w:val="28"/>
          <w:lang w:val="en-US"/>
        </w:rPr>
        <w:t xml:space="preserve"> et al.</w:t>
      </w:r>
      <w:r w:rsidR="001763C1" w:rsidRPr="00AD6C50">
        <w:rPr>
          <w:bCs/>
          <w:sz w:val="28"/>
          <w:szCs w:val="28"/>
          <w:lang w:val="en-US"/>
        </w:rPr>
        <w:t xml:space="preserve"> The immunology and immunopathology of COVID-19 // Science. – 2022. – Vol. 375, No. 6585. – eabm8108.</w:t>
      </w:r>
    </w:p>
    <w:p w:rsidR="00AD6C50" w:rsidRPr="00AD6C50" w:rsidRDefault="00AD6C50" w:rsidP="00AD6C50">
      <w:pPr>
        <w:pStyle w:val="a4"/>
        <w:numPr>
          <w:ilvl w:val="0"/>
          <w:numId w:val="14"/>
        </w:numPr>
        <w:tabs>
          <w:tab w:val="left" w:pos="993"/>
        </w:tabs>
        <w:ind w:left="142" w:firstLine="425"/>
        <w:rPr>
          <w:bCs/>
          <w:sz w:val="28"/>
          <w:szCs w:val="28"/>
          <w:lang w:val="en-US"/>
        </w:rPr>
      </w:pPr>
      <w:r w:rsidRPr="00AD6C50">
        <w:rPr>
          <w:lang w:val="en-US"/>
        </w:rPr>
        <w:t xml:space="preserve"> </w:t>
      </w:r>
      <w:r w:rsidRPr="00AD6C50">
        <w:rPr>
          <w:bCs/>
          <w:sz w:val="28"/>
          <w:szCs w:val="28"/>
          <w:lang w:val="en-US"/>
        </w:rPr>
        <w:t xml:space="preserve">Booth A., Reed A.B., </w:t>
      </w:r>
      <w:proofErr w:type="spellStart"/>
      <w:r w:rsidRPr="00AD6C50">
        <w:rPr>
          <w:bCs/>
          <w:sz w:val="28"/>
          <w:szCs w:val="28"/>
          <w:lang w:val="en-US"/>
        </w:rPr>
        <w:t>Ponzo</w:t>
      </w:r>
      <w:proofErr w:type="spellEnd"/>
      <w:r w:rsidRPr="00AD6C50">
        <w:rPr>
          <w:bCs/>
          <w:sz w:val="28"/>
          <w:szCs w:val="28"/>
          <w:lang w:val="en-US"/>
        </w:rPr>
        <w:t xml:space="preserve"> S. </w:t>
      </w:r>
      <w:r w:rsidR="00B411B0" w:rsidRPr="00B411B0">
        <w:rPr>
          <w:bCs/>
          <w:sz w:val="28"/>
          <w:szCs w:val="28"/>
          <w:lang w:val="en-US"/>
        </w:rPr>
        <w:t>et al</w:t>
      </w:r>
      <w:r w:rsidRPr="00AD6C50">
        <w:rPr>
          <w:bCs/>
          <w:sz w:val="28"/>
          <w:szCs w:val="28"/>
          <w:lang w:val="en-US"/>
        </w:rPr>
        <w:t xml:space="preserve">. Population risk factors for severe disease and mortality in COVID-19: a global systematic review and meta-analysis // </w:t>
      </w:r>
      <w:proofErr w:type="spellStart"/>
      <w:r w:rsidRPr="00AD6C50">
        <w:rPr>
          <w:bCs/>
          <w:sz w:val="28"/>
          <w:szCs w:val="28"/>
          <w:lang w:val="en-US"/>
        </w:rPr>
        <w:t>PLoS</w:t>
      </w:r>
      <w:proofErr w:type="spellEnd"/>
      <w:r w:rsidRPr="00AD6C50">
        <w:rPr>
          <w:bCs/>
          <w:sz w:val="28"/>
          <w:szCs w:val="28"/>
          <w:lang w:val="en-US"/>
        </w:rPr>
        <w:t xml:space="preserve"> One. – 2021. – Vol. 16, No. 3. – e0247461. – DOI: 10.1371/journal.pone.0247461.</w:t>
      </w:r>
    </w:p>
    <w:p w:rsidR="001763C1" w:rsidRDefault="000D4809" w:rsidP="00E64D11">
      <w:pPr>
        <w:widowControl/>
        <w:numPr>
          <w:ilvl w:val="0"/>
          <w:numId w:val="14"/>
        </w:numPr>
        <w:tabs>
          <w:tab w:val="left" w:pos="993"/>
        </w:tabs>
        <w:autoSpaceDE/>
        <w:autoSpaceDN/>
        <w:ind w:left="0" w:firstLine="567"/>
        <w:contextualSpacing/>
        <w:jc w:val="both"/>
        <w:rPr>
          <w:bCs/>
          <w:sz w:val="28"/>
          <w:szCs w:val="28"/>
          <w:lang w:val="en-US"/>
        </w:rPr>
      </w:pPr>
      <w:r w:rsidRPr="001763C1">
        <w:rPr>
          <w:bCs/>
          <w:sz w:val="28"/>
          <w:szCs w:val="28"/>
          <w:lang w:val="en-US"/>
        </w:rPr>
        <w:t xml:space="preserve"> </w:t>
      </w:r>
      <w:r w:rsidR="001763C1" w:rsidRPr="001763C1">
        <w:rPr>
          <w:bCs/>
          <w:sz w:val="28"/>
          <w:szCs w:val="28"/>
          <w:lang w:val="en-US"/>
        </w:rPr>
        <w:t xml:space="preserve">Del Valle D.M., Kim-Schulze S., Huang H.H. </w:t>
      </w:r>
      <w:r w:rsidR="00B411B0" w:rsidRPr="00B411B0">
        <w:rPr>
          <w:bCs/>
          <w:sz w:val="28"/>
          <w:szCs w:val="28"/>
          <w:lang w:val="en-US"/>
        </w:rPr>
        <w:t>et al</w:t>
      </w:r>
      <w:r w:rsidR="001763C1" w:rsidRPr="001763C1">
        <w:rPr>
          <w:bCs/>
          <w:sz w:val="28"/>
          <w:szCs w:val="28"/>
          <w:lang w:val="en-US"/>
        </w:rPr>
        <w:t xml:space="preserve">. An inflammatory cytokine signature predicts COVID-19 severity and survival // Nature Medicine. – 2022. – Vol. 28. – P. 1636–1643. </w:t>
      </w:r>
    </w:p>
    <w:p w:rsidR="000D4809" w:rsidRPr="001763C1" w:rsidRDefault="000D4809" w:rsidP="00E64D11">
      <w:pPr>
        <w:widowControl/>
        <w:numPr>
          <w:ilvl w:val="0"/>
          <w:numId w:val="14"/>
        </w:numPr>
        <w:tabs>
          <w:tab w:val="left" w:pos="993"/>
        </w:tabs>
        <w:autoSpaceDE/>
        <w:autoSpaceDN/>
        <w:ind w:left="0" w:firstLine="567"/>
        <w:contextualSpacing/>
        <w:jc w:val="both"/>
        <w:rPr>
          <w:bCs/>
          <w:sz w:val="28"/>
          <w:szCs w:val="28"/>
          <w:lang w:val="en-US"/>
        </w:rPr>
      </w:pPr>
      <w:r w:rsidRPr="001763C1">
        <w:rPr>
          <w:bCs/>
          <w:sz w:val="28"/>
          <w:szCs w:val="28"/>
          <w:lang w:val="en-US"/>
        </w:rPr>
        <w:t xml:space="preserve"> </w:t>
      </w:r>
      <w:proofErr w:type="spellStart"/>
      <w:r w:rsidR="001763C1" w:rsidRPr="001763C1">
        <w:rPr>
          <w:bCs/>
          <w:sz w:val="28"/>
          <w:szCs w:val="28"/>
          <w:lang w:val="en-US"/>
        </w:rPr>
        <w:t>Vabret</w:t>
      </w:r>
      <w:proofErr w:type="spellEnd"/>
      <w:r w:rsidR="001763C1" w:rsidRPr="001763C1">
        <w:rPr>
          <w:bCs/>
          <w:sz w:val="28"/>
          <w:szCs w:val="28"/>
          <w:lang w:val="en-US"/>
        </w:rPr>
        <w:t xml:space="preserve"> N., Britton G.J., Gruber C. </w:t>
      </w:r>
      <w:r w:rsidR="00B411B0" w:rsidRPr="00B411B0">
        <w:rPr>
          <w:bCs/>
          <w:sz w:val="28"/>
          <w:szCs w:val="28"/>
          <w:lang w:val="en-US"/>
        </w:rPr>
        <w:t>et al</w:t>
      </w:r>
      <w:r w:rsidR="001763C1" w:rsidRPr="001763C1">
        <w:rPr>
          <w:bCs/>
          <w:sz w:val="28"/>
          <w:szCs w:val="28"/>
          <w:lang w:val="en-US"/>
        </w:rPr>
        <w:t xml:space="preserve">. Immunology of COVID-19: current state of the science // Immunity. – 2022. – Vol. 55. – P. 910–941. </w:t>
      </w:r>
    </w:p>
    <w:p w:rsidR="003F0584" w:rsidRDefault="003F0584" w:rsidP="000D4809">
      <w:pPr>
        <w:widowControl/>
        <w:numPr>
          <w:ilvl w:val="0"/>
          <w:numId w:val="14"/>
        </w:numPr>
        <w:tabs>
          <w:tab w:val="left" w:pos="993"/>
        </w:tabs>
        <w:autoSpaceDE/>
        <w:autoSpaceDN/>
        <w:ind w:left="0" w:firstLine="567"/>
        <w:contextualSpacing/>
        <w:jc w:val="both"/>
        <w:rPr>
          <w:bCs/>
          <w:sz w:val="28"/>
          <w:szCs w:val="28"/>
          <w:lang w:val="en-US"/>
        </w:rPr>
      </w:pPr>
      <w:r w:rsidRPr="003F0584">
        <w:rPr>
          <w:bCs/>
          <w:sz w:val="28"/>
          <w:szCs w:val="28"/>
          <w:lang w:val="en-US"/>
        </w:rPr>
        <w:t xml:space="preserve">Docherty A.B., Harrison E.M., Green C.A. </w:t>
      </w:r>
      <w:r w:rsidR="00B411B0" w:rsidRPr="00B411B0">
        <w:rPr>
          <w:bCs/>
          <w:sz w:val="28"/>
          <w:szCs w:val="28"/>
          <w:lang w:val="en-US"/>
        </w:rPr>
        <w:t>et al</w:t>
      </w:r>
      <w:r w:rsidRPr="003F0584">
        <w:rPr>
          <w:bCs/>
          <w:sz w:val="28"/>
          <w:szCs w:val="28"/>
          <w:lang w:val="en-US"/>
        </w:rPr>
        <w:t xml:space="preserve">. Features of 20 133 UK patients in hospital with COVID-19 using the ISARIC WHO Clinical </w:t>
      </w:r>
      <w:proofErr w:type="spellStart"/>
      <w:r w:rsidRPr="003F0584">
        <w:rPr>
          <w:bCs/>
          <w:sz w:val="28"/>
          <w:szCs w:val="28"/>
          <w:lang w:val="en-US"/>
        </w:rPr>
        <w:t>Characterisation</w:t>
      </w:r>
      <w:proofErr w:type="spellEnd"/>
      <w:r w:rsidRPr="003F0584">
        <w:rPr>
          <w:bCs/>
          <w:sz w:val="28"/>
          <w:szCs w:val="28"/>
          <w:lang w:val="en-US"/>
        </w:rPr>
        <w:t xml:space="preserve"> Protocol: prospective observational cohort study // BMJ. – 2022. – Vol. 369. – m1985. </w:t>
      </w:r>
    </w:p>
    <w:p w:rsidR="000D4809" w:rsidRPr="000D4809" w:rsidRDefault="002566D9" w:rsidP="000D4809">
      <w:pPr>
        <w:widowControl/>
        <w:numPr>
          <w:ilvl w:val="0"/>
          <w:numId w:val="14"/>
        </w:numPr>
        <w:tabs>
          <w:tab w:val="left" w:pos="993"/>
        </w:tabs>
        <w:autoSpaceDE/>
        <w:autoSpaceDN/>
        <w:ind w:left="0" w:firstLine="567"/>
        <w:contextualSpacing/>
        <w:jc w:val="both"/>
        <w:rPr>
          <w:bCs/>
          <w:sz w:val="28"/>
          <w:szCs w:val="28"/>
          <w:lang w:val="en-US"/>
        </w:rPr>
      </w:pPr>
      <w:r w:rsidRPr="002566D9">
        <w:rPr>
          <w:bCs/>
          <w:sz w:val="28"/>
          <w:szCs w:val="28"/>
          <w:lang w:val="en-US"/>
        </w:rPr>
        <w:t>Clark A., Jit M., Warren-Gash C. et al. Global, regional, and national estimates of the population at increased risk of severe COVID-19 due to underlying health conditions // The Lancet Global Health. – 2022. – Vol. 8. – P. e1003–e1017.</w:t>
      </w:r>
    </w:p>
    <w:p w:rsidR="000D4809" w:rsidRPr="000D4809" w:rsidRDefault="000D4809" w:rsidP="000D4809">
      <w:pPr>
        <w:widowControl/>
        <w:numPr>
          <w:ilvl w:val="0"/>
          <w:numId w:val="14"/>
        </w:numPr>
        <w:tabs>
          <w:tab w:val="left" w:pos="993"/>
        </w:tabs>
        <w:autoSpaceDE/>
        <w:autoSpaceDN/>
        <w:ind w:left="0" w:firstLine="567"/>
        <w:contextualSpacing/>
        <w:jc w:val="both"/>
        <w:rPr>
          <w:bCs/>
          <w:sz w:val="28"/>
          <w:szCs w:val="28"/>
          <w:lang w:val="en-US"/>
        </w:rPr>
      </w:pPr>
      <w:r w:rsidRPr="000D4809">
        <w:rPr>
          <w:bCs/>
          <w:sz w:val="28"/>
          <w:szCs w:val="28"/>
          <w:lang w:val="en-US"/>
        </w:rPr>
        <w:t xml:space="preserve"> </w:t>
      </w:r>
      <w:r w:rsidR="001763C1" w:rsidRPr="001763C1">
        <w:rPr>
          <w:bCs/>
          <w:sz w:val="28"/>
          <w:szCs w:val="28"/>
          <w:lang w:val="en-US"/>
        </w:rPr>
        <w:t xml:space="preserve">Ng J.H., Hirsch J.S., </w:t>
      </w:r>
      <w:proofErr w:type="spellStart"/>
      <w:r w:rsidR="001763C1" w:rsidRPr="001763C1">
        <w:rPr>
          <w:bCs/>
          <w:sz w:val="28"/>
          <w:szCs w:val="28"/>
          <w:lang w:val="en-US"/>
        </w:rPr>
        <w:t>Wanchoo</w:t>
      </w:r>
      <w:proofErr w:type="spellEnd"/>
      <w:r w:rsidR="001763C1" w:rsidRPr="001763C1">
        <w:rPr>
          <w:bCs/>
          <w:sz w:val="28"/>
          <w:szCs w:val="28"/>
          <w:lang w:val="en-US"/>
        </w:rPr>
        <w:t xml:space="preserve"> R. </w:t>
      </w:r>
      <w:r w:rsidR="00B411B0" w:rsidRPr="00B411B0">
        <w:rPr>
          <w:bCs/>
          <w:sz w:val="28"/>
          <w:szCs w:val="28"/>
          <w:lang w:val="en-US"/>
        </w:rPr>
        <w:t>et al</w:t>
      </w:r>
      <w:r w:rsidR="001763C1" w:rsidRPr="001763C1">
        <w:rPr>
          <w:bCs/>
          <w:sz w:val="28"/>
          <w:szCs w:val="28"/>
          <w:lang w:val="en-US"/>
        </w:rPr>
        <w:t>. Outcomes of patients with COVID-19 and chronic kidney disease: a meta-analysis // Kidney International Reports. – 2023. – Vol. 8. – P. 101–112</w:t>
      </w:r>
      <w:r w:rsidRPr="000D4809">
        <w:rPr>
          <w:bCs/>
          <w:sz w:val="28"/>
          <w:szCs w:val="28"/>
          <w:lang w:val="en-US"/>
        </w:rPr>
        <w:t>.</w:t>
      </w:r>
    </w:p>
    <w:p w:rsidR="000D4809" w:rsidRPr="000D4809" w:rsidRDefault="000D4809" w:rsidP="000D4809">
      <w:pPr>
        <w:widowControl/>
        <w:numPr>
          <w:ilvl w:val="0"/>
          <w:numId w:val="14"/>
        </w:numPr>
        <w:tabs>
          <w:tab w:val="left" w:pos="993"/>
        </w:tabs>
        <w:autoSpaceDE/>
        <w:autoSpaceDN/>
        <w:ind w:left="0" w:firstLine="567"/>
        <w:contextualSpacing/>
        <w:jc w:val="both"/>
        <w:rPr>
          <w:bCs/>
          <w:sz w:val="28"/>
          <w:szCs w:val="28"/>
          <w:lang w:val="en-US"/>
        </w:rPr>
      </w:pPr>
      <w:r w:rsidRPr="000D4809">
        <w:rPr>
          <w:bCs/>
          <w:sz w:val="28"/>
          <w:szCs w:val="28"/>
          <w:lang w:val="en-US"/>
        </w:rPr>
        <w:t xml:space="preserve"> </w:t>
      </w:r>
      <w:r w:rsidR="001763C1" w:rsidRPr="001763C1">
        <w:rPr>
          <w:bCs/>
          <w:sz w:val="28"/>
          <w:szCs w:val="28"/>
          <w:lang w:val="en-US"/>
        </w:rPr>
        <w:t xml:space="preserve">Lee L.Y.W., </w:t>
      </w:r>
      <w:proofErr w:type="spellStart"/>
      <w:r w:rsidR="001763C1" w:rsidRPr="001763C1">
        <w:rPr>
          <w:bCs/>
          <w:sz w:val="28"/>
          <w:szCs w:val="28"/>
          <w:lang w:val="en-US"/>
        </w:rPr>
        <w:t>Cazier</w:t>
      </w:r>
      <w:proofErr w:type="spellEnd"/>
      <w:r w:rsidR="001763C1" w:rsidRPr="001763C1">
        <w:rPr>
          <w:bCs/>
          <w:sz w:val="28"/>
          <w:szCs w:val="28"/>
          <w:lang w:val="en-US"/>
        </w:rPr>
        <w:t xml:space="preserve"> J.B., Starkey T. </w:t>
      </w:r>
      <w:r w:rsidR="00B411B0" w:rsidRPr="00B411B0">
        <w:rPr>
          <w:bCs/>
          <w:sz w:val="28"/>
          <w:szCs w:val="28"/>
          <w:lang w:val="en-US"/>
        </w:rPr>
        <w:t>et al</w:t>
      </w:r>
      <w:r w:rsidR="001763C1" w:rsidRPr="001763C1">
        <w:rPr>
          <w:bCs/>
          <w:sz w:val="28"/>
          <w:szCs w:val="28"/>
          <w:lang w:val="en-US"/>
        </w:rPr>
        <w:t xml:space="preserve">. COVID-19 mortality in patients with cancer on chemotherapy or other anticancer treatments: a prospective cohort study // The Lancet Oncology. – 2022. – Vol. 23. – P. 115–125. </w:t>
      </w:r>
    </w:p>
    <w:p w:rsidR="00E20649" w:rsidRPr="000D4809" w:rsidRDefault="00E20649" w:rsidP="000D4809">
      <w:pPr>
        <w:pStyle w:val="1"/>
        <w:ind w:left="718" w:right="138"/>
        <w:jc w:val="center"/>
        <w:rPr>
          <w:lang w:val="en-US"/>
        </w:rPr>
      </w:pPr>
    </w:p>
    <w:sectPr w:rsidR="00E20649" w:rsidRPr="000D4809" w:rsidSect="001763C1">
      <w:pgSz w:w="11900" w:h="16850"/>
      <w:pgMar w:top="1134" w:right="708" w:bottom="1134"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70B9A"/>
    <w:multiLevelType w:val="multilevel"/>
    <w:tmpl w:val="66F8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94F2E"/>
    <w:multiLevelType w:val="hybridMultilevel"/>
    <w:tmpl w:val="C7EEAE88"/>
    <w:lvl w:ilvl="0" w:tplc="48AA251A">
      <w:start w:val="1"/>
      <w:numFmt w:val="decimal"/>
      <w:lvlText w:val="%1."/>
      <w:lvlJc w:val="left"/>
      <w:pPr>
        <w:ind w:left="644" w:hanging="360"/>
      </w:pPr>
      <w:rPr>
        <w:rFonts w:ascii="Times New Roman" w:eastAsia="Times New Roman" w:hAnsi="Times New Roman" w:cs="Times New Roman"/>
      </w:rPr>
    </w:lvl>
    <w:lvl w:ilvl="1" w:tplc="04190019">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2" w15:restartNumberingAfterBreak="0">
    <w:nsid w:val="0F817959"/>
    <w:multiLevelType w:val="hybridMultilevel"/>
    <w:tmpl w:val="2F0899A2"/>
    <w:lvl w:ilvl="0" w:tplc="E75E7FA8">
      <w:start w:val="1"/>
      <w:numFmt w:val="decimal"/>
      <w:lvlText w:val="%1)"/>
      <w:lvlJc w:val="left"/>
      <w:pPr>
        <w:ind w:left="720" w:hanging="360"/>
      </w:pPr>
      <w:rPr>
        <w:rFonts w:hint="default"/>
        <w:spacing w:val="0"/>
        <w:kern w:val="0"/>
        <w14:stylisticSets>
          <w14:styleSet w14:id="1"/>
        </w14:stylisticSet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8842ED"/>
    <w:multiLevelType w:val="hybridMultilevel"/>
    <w:tmpl w:val="64BC156E"/>
    <w:lvl w:ilvl="0" w:tplc="E75E7FA8">
      <w:start w:val="1"/>
      <w:numFmt w:val="decimal"/>
      <w:lvlText w:val="%1)"/>
      <w:lvlJc w:val="left"/>
      <w:pPr>
        <w:ind w:left="720" w:hanging="360"/>
      </w:pPr>
      <w:rPr>
        <w:rFonts w:hint="default"/>
        <w:spacing w:val="0"/>
        <w:kern w:val="0"/>
        <w14:stylisticSets>
          <w14:styleSet w14:id="1"/>
        </w14:stylisticSet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775B09"/>
    <w:multiLevelType w:val="multilevel"/>
    <w:tmpl w:val="4D5C4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8301A4"/>
    <w:multiLevelType w:val="multilevel"/>
    <w:tmpl w:val="23A24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6F558F"/>
    <w:multiLevelType w:val="multilevel"/>
    <w:tmpl w:val="1A64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692906"/>
    <w:multiLevelType w:val="hybridMultilevel"/>
    <w:tmpl w:val="05BA3260"/>
    <w:lvl w:ilvl="0" w:tplc="D552450C">
      <w:start w:val="1"/>
      <w:numFmt w:val="decimal"/>
      <w:lvlText w:val="%1."/>
      <w:lvlJc w:val="left"/>
      <w:pPr>
        <w:ind w:left="722" w:hanging="360"/>
      </w:pPr>
      <w:rPr>
        <w:rFonts w:ascii="Times New Roman" w:eastAsia="Times New Roman" w:hAnsi="Times New Roman" w:cs="Times New Roman" w:hint="default"/>
        <w:b w:val="0"/>
        <w:bCs w:val="0"/>
        <w:i w:val="0"/>
        <w:iCs w:val="0"/>
        <w:spacing w:val="0"/>
        <w:w w:val="96"/>
        <w:sz w:val="28"/>
        <w:szCs w:val="28"/>
        <w:lang w:val="ru-RU" w:eastAsia="en-US" w:bidi="ar-SA"/>
      </w:rPr>
    </w:lvl>
    <w:lvl w:ilvl="1" w:tplc="3508F49E">
      <w:numFmt w:val="bullet"/>
      <w:lvlText w:val="•"/>
      <w:lvlJc w:val="left"/>
      <w:pPr>
        <w:ind w:left="1597" w:hanging="360"/>
      </w:pPr>
      <w:rPr>
        <w:rFonts w:hint="default"/>
        <w:lang w:val="ru-RU" w:eastAsia="en-US" w:bidi="ar-SA"/>
      </w:rPr>
    </w:lvl>
    <w:lvl w:ilvl="2" w:tplc="1416DEA4">
      <w:numFmt w:val="bullet"/>
      <w:lvlText w:val="•"/>
      <w:lvlJc w:val="left"/>
      <w:pPr>
        <w:ind w:left="2474" w:hanging="360"/>
      </w:pPr>
      <w:rPr>
        <w:rFonts w:hint="default"/>
        <w:lang w:val="ru-RU" w:eastAsia="en-US" w:bidi="ar-SA"/>
      </w:rPr>
    </w:lvl>
    <w:lvl w:ilvl="3" w:tplc="BE52FA38">
      <w:numFmt w:val="bullet"/>
      <w:lvlText w:val="•"/>
      <w:lvlJc w:val="left"/>
      <w:pPr>
        <w:ind w:left="3351" w:hanging="360"/>
      </w:pPr>
      <w:rPr>
        <w:rFonts w:hint="default"/>
        <w:lang w:val="ru-RU" w:eastAsia="en-US" w:bidi="ar-SA"/>
      </w:rPr>
    </w:lvl>
    <w:lvl w:ilvl="4" w:tplc="DFAC6EDC">
      <w:numFmt w:val="bullet"/>
      <w:lvlText w:val="•"/>
      <w:lvlJc w:val="left"/>
      <w:pPr>
        <w:ind w:left="4228" w:hanging="360"/>
      </w:pPr>
      <w:rPr>
        <w:rFonts w:hint="default"/>
        <w:lang w:val="ru-RU" w:eastAsia="en-US" w:bidi="ar-SA"/>
      </w:rPr>
    </w:lvl>
    <w:lvl w:ilvl="5" w:tplc="4CB632CE">
      <w:numFmt w:val="bullet"/>
      <w:lvlText w:val="•"/>
      <w:lvlJc w:val="left"/>
      <w:pPr>
        <w:ind w:left="5105" w:hanging="360"/>
      </w:pPr>
      <w:rPr>
        <w:rFonts w:hint="default"/>
        <w:lang w:val="ru-RU" w:eastAsia="en-US" w:bidi="ar-SA"/>
      </w:rPr>
    </w:lvl>
    <w:lvl w:ilvl="6" w:tplc="67AE14EA">
      <w:numFmt w:val="bullet"/>
      <w:lvlText w:val="•"/>
      <w:lvlJc w:val="left"/>
      <w:pPr>
        <w:ind w:left="5982" w:hanging="360"/>
      </w:pPr>
      <w:rPr>
        <w:rFonts w:hint="default"/>
        <w:lang w:val="ru-RU" w:eastAsia="en-US" w:bidi="ar-SA"/>
      </w:rPr>
    </w:lvl>
    <w:lvl w:ilvl="7" w:tplc="BAFCFD16">
      <w:numFmt w:val="bullet"/>
      <w:lvlText w:val="•"/>
      <w:lvlJc w:val="left"/>
      <w:pPr>
        <w:ind w:left="6859" w:hanging="360"/>
      </w:pPr>
      <w:rPr>
        <w:rFonts w:hint="default"/>
        <w:lang w:val="ru-RU" w:eastAsia="en-US" w:bidi="ar-SA"/>
      </w:rPr>
    </w:lvl>
    <w:lvl w:ilvl="8" w:tplc="C436BDA2">
      <w:numFmt w:val="bullet"/>
      <w:lvlText w:val="•"/>
      <w:lvlJc w:val="left"/>
      <w:pPr>
        <w:ind w:left="7736" w:hanging="360"/>
      </w:pPr>
      <w:rPr>
        <w:rFonts w:hint="default"/>
        <w:lang w:val="ru-RU" w:eastAsia="en-US" w:bidi="ar-SA"/>
      </w:rPr>
    </w:lvl>
  </w:abstractNum>
  <w:abstractNum w:abstractNumId="8" w15:restartNumberingAfterBreak="0">
    <w:nsid w:val="382B7831"/>
    <w:multiLevelType w:val="multilevel"/>
    <w:tmpl w:val="74AED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B538D4"/>
    <w:multiLevelType w:val="hybridMultilevel"/>
    <w:tmpl w:val="2864F0BE"/>
    <w:lvl w:ilvl="0" w:tplc="290C30C2">
      <w:start w:val="1"/>
      <w:numFmt w:val="decimal"/>
      <w:lvlText w:val="%1."/>
      <w:lvlJc w:val="lef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EF8662D"/>
    <w:multiLevelType w:val="multilevel"/>
    <w:tmpl w:val="2412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852071"/>
    <w:multiLevelType w:val="multilevel"/>
    <w:tmpl w:val="6C78D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CE4930"/>
    <w:multiLevelType w:val="hybridMultilevel"/>
    <w:tmpl w:val="E80CC2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D741A4F"/>
    <w:multiLevelType w:val="multilevel"/>
    <w:tmpl w:val="158876C4"/>
    <w:lvl w:ilvl="0">
      <w:start w:val="1"/>
      <w:numFmt w:val="bullet"/>
      <w:lvlText w:val=""/>
      <w:lvlJc w:val="left"/>
      <w:pPr>
        <w:tabs>
          <w:tab w:val="num" w:pos="720"/>
        </w:tabs>
        <w:ind w:left="720" w:hanging="360"/>
      </w:pPr>
      <w:rPr>
        <w:rFonts w:ascii="Times New Roman" w:hAnsi="Times New Roman" w:cs="Times New Roman"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1F4F6C"/>
    <w:multiLevelType w:val="hybridMultilevel"/>
    <w:tmpl w:val="751AE3E0"/>
    <w:lvl w:ilvl="0" w:tplc="C48CBC00">
      <w:start w:val="1"/>
      <w:numFmt w:val="decimal"/>
      <w:lvlText w:val="%1."/>
      <w:lvlJc w:val="left"/>
      <w:pPr>
        <w:ind w:left="2" w:hanging="310"/>
      </w:pPr>
      <w:rPr>
        <w:rFonts w:ascii="Times New Roman" w:eastAsia="Times New Roman" w:hAnsi="Times New Roman" w:cs="Times New Roman" w:hint="default"/>
        <w:b w:val="0"/>
        <w:bCs w:val="0"/>
        <w:i w:val="0"/>
        <w:iCs w:val="0"/>
        <w:spacing w:val="0"/>
        <w:w w:val="100"/>
        <w:sz w:val="28"/>
        <w:szCs w:val="28"/>
        <w:lang w:val="ru-RU" w:eastAsia="en-US" w:bidi="ar-SA"/>
      </w:rPr>
    </w:lvl>
    <w:lvl w:ilvl="1" w:tplc="C344A412">
      <w:numFmt w:val="bullet"/>
      <w:lvlText w:val="•"/>
      <w:lvlJc w:val="left"/>
      <w:pPr>
        <w:ind w:left="949" w:hanging="310"/>
      </w:pPr>
      <w:rPr>
        <w:rFonts w:hint="default"/>
        <w:lang w:val="ru-RU" w:eastAsia="en-US" w:bidi="ar-SA"/>
      </w:rPr>
    </w:lvl>
    <w:lvl w:ilvl="2" w:tplc="C27A4624">
      <w:numFmt w:val="bullet"/>
      <w:lvlText w:val="•"/>
      <w:lvlJc w:val="left"/>
      <w:pPr>
        <w:ind w:left="1898" w:hanging="310"/>
      </w:pPr>
      <w:rPr>
        <w:rFonts w:hint="default"/>
        <w:lang w:val="ru-RU" w:eastAsia="en-US" w:bidi="ar-SA"/>
      </w:rPr>
    </w:lvl>
    <w:lvl w:ilvl="3" w:tplc="5B10D698">
      <w:numFmt w:val="bullet"/>
      <w:lvlText w:val="•"/>
      <w:lvlJc w:val="left"/>
      <w:pPr>
        <w:ind w:left="2847" w:hanging="310"/>
      </w:pPr>
      <w:rPr>
        <w:rFonts w:hint="default"/>
        <w:lang w:val="ru-RU" w:eastAsia="en-US" w:bidi="ar-SA"/>
      </w:rPr>
    </w:lvl>
    <w:lvl w:ilvl="4" w:tplc="0F94F7AA">
      <w:numFmt w:val="bullet"/>
      <w:lvlText w:val="•"/>
      <w:lvlJc w:val="left"/>
      <w:pPr>
        <w:ind w:left="3796" w:hanging="310"/>
      </w:pPr>
      <w:rPr>
        <w:rFonts w:hint="default"/>
        <w:lang w:val="ru-RU" w:eastAsia="en-US" w:bidi="ar-SA"/>
      </w:rPr>
    </w:lvl>
    <w:lvl w:ilvl="5" w:tplc="D5884410">
      <w:numFmt w:val="bullet"/>
      <w:lvlText w:val="•"/>
      <w:lvlJc w:val="left"/>
      <w:pPr>
        <w:ind w:left="4745" w:hanging="310"/>
      </w:pPr>
      <w:rPr>
        <w:rFonts w:hint="default"/>
        <w:lang w:val="ru-RU" w:eastAsia="en-US" w:bidi="ar-SA"/>
      </w:rPr>
    </w:lvl>
    <w:lvl w:ilvl="6" w:tplc="66D45598">
      <w:numFmt w:val="bullet"/>
      <w:lvlText w:val="•"/>
      <w:lvlJc w:val="left"/>
      <w:pPr>
        <w:ind w:left="5694" w:hanging="310"/>
      </w:pPr>
      <w:rPr>
        <w:rFonts w:hint="default"/>
        <w:lang w:val="ru-RU" w:eastAsia="en-US" w:bidi="ar-SA"/>
      </w:rPr>
    </w:lvl>
    <w:lvl w:ilvl="7" w:tplc="2EBA24BA">
      <w:numFmt w:val="bullet"/>
      <w:lvlText w:val="•"/>
      <w:lvlJc w:val="left"/>
      <w:pPr>
        <w:ind w:left="6643" w:hanging="310"/>
      </w:pPr>
      <w:rPr>
        <w:rFonts w:hint="default"/>
        <w:lang w:val="ru-RU" w:eastAsia="en-US" w:bidi="ar-SA"/>
      </w:rPr>
    </w:lvl>
    <w:lvl w:ilvl="8" w:tplc="6FEAFCD6">
      <w:numFmt w:val="bullet"/>
      <w:lvlText w:val="•"/>
      <w:lvlJc w:val="left"/>
      <w:pPr>
        <w:ind w:left="7592" w:hanging="310"/>
      </w:pPr>
      <w:rPr>
        <w:rFonts w:hint="default"/>
        <w:lang w:val="ru-RU" w:eastAsia="en-US" w:bidi="ar-SA"/>
      </w:rPr>
    </w:lvl>
  </w:abstractNum>
  <w:abstractNum w:abstractNumId="15" w15:restartNumberingAfterBreak="0">
    <w:nsid w:val="4FD6180C"/>
    <w:multiLevelType w:val="hybridMultilevel"/>
    <w:tmpl w:val="87B0E73C"/>
    <w:lvl w:ilvl="0" w:tplc="82A8EDBE">
      <w:start w:val="1"/>
      <w:numFmt w:val="decimal"/>
      <w:lvlText w:val="%1."/>
      <w:lvlJc w:val="left"/>
      <w:pPr>
        <w:ind w:left="2"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10421D84">
      <w:numFmt w:val="bullet"/>
      <w:lvlText w:val="•"/>
      <w:lvlJc w:val="left"/>
      <w:pPr>
        <w:ind w:left="949" w:hanging="708"/>
      </w:pPr>
      <w:rPr>
        <w:rFonts w:hint="default"/>
        <w:lang w:val="ru-RU" w:eastAsia="en-US" w:bidi="ar-SA"/>
      </w:rPr>
    </w:lvl>
    <w:lvl w:ilvl="2" w:tplc="AAD89820">
      <w:numFmt w:val="bullet"/>
      <w:lvlText w:val="•"/>
      <w:lvlJc w:val="left"/>
      <w:pPr>
        <w:ind w:left="1898" w:hanging="708"/>
      </w:pPr>
      <w:rPr>
        <w:rFonts w:hint="default"/>
        <w:lang w:val="ru-RU" w:eastAsia="en-US" w:bidi="ar-SA"/>
      </w:rPr>
    </w:lvl>
    <w:lvl w:ilvl="3" w:tplc="84CCFD36">
      <w:numFmt w:val="bullet"/>
      <w:lvlText w:val="•"/>
      <w:lvlJc w:val="left"/>
      <w:pPr>
        <w:ind w:left="2847" w:hanging="708"/>
      </w:pPr>
      <w:rPr>
        <w:rFonts w:hint="default"/>
        <w:lang w:val="ru-RU" w:eastAsia="en-US" w:bidi="ar-SA"/>
      </w:rPr>
    </w:lvl>
    <w:lvl w:ilvl="4" w:tplc="A4EC8F9A">
      <w:numFmt w:val="bullet"/>
      <w:lvlText w:val="•"/>
      <w:lvlJc w:val="left"/>
      <w:pPr>
        <w:ind w:left="3796" w:hanging="708"/>
      </w:pPr>
      <w:rPr>
        <w:rFonts w:hint="default"/>
        <w:lang w:val="ru-RU" w:eastAsia="en-US" w:bidi="ar-SA"/>
      </w:rPr>
    </w:lvl>
    <w:lvl w:ilvl="5" w:tplc="B134B406">
      <w:numFmt w:val="bullet"/>
      <w:lvlText w:val="•"/>
      <w:lvlJc w:val="left"/>
      <w:pPr>
        <w:ind w:left="4745" w:hanging="708"/>
      </w:pPr>
      <w:rPr>
        <w:rFonts w:hint="default"/>
        <w:lang w:val="ru-RU" w:eastAsia="en-US" w:bidi="ar-SA"/>
      </w:rPr>
    </w:lvl>
    <w:lvl w:ilvl="6" w:tplc="C10A3EB0">
      <w:numFmt w:val="bullet"/>
      <w:lvlText w:val="•"/>
      <w:lvlJc w:val="left"/>
      <w:pPr>
        <w:ind w:left="5694" w:hanging="708"/>
      </w:pPr>
      <w:rPr>
        <w:rFonts w:hint="default"/>
        <w:lang w:val="ru-RU" w:eastAsia="en-US" w:bidi="ar-SA"/>
      </w:rPr>
    </w:lvl>
    <w:lvl w:ilvl="7" w:tplc="5832F59E">
      <w:numFmt w:val="bullet"/>
      <w:lvlText w:val="•"/>
      <w:lvlJc w:val="left"/>
      <w:pPr>
        <w:ind w:left="6643" w:hanging="708"/>
      </w:pPr>
      <w:rPr>
        <w:rFonts w:hint="default"/>
        <w:lang w:val="ru-RU" w:eastAsia="en-US" w:bidi="ar-SA"/>
      </w:rPr>
    </w:lvl>
    <w:lvl w:ilvl="8" w:tplc="7814275A">
      <w:numFmt w:val="bullet"/>
      <w:lvlText w:val="•"/>
      <w:lvlJc w:val="left"/>
      <w:pPr>
        <w:ind w:left="7592" w:hanging="708"/>
      </w:pPr>
      <w:rPr>
        <w:rFonts w:hint="default"/>
        <w:lang w:val="ru-RU" w:eastAsia="en-US" w:bidi="ar-SA"/>
      </w:rPr>
    </w:lvl>
  </w:abstractNum>
  <w:abstractNum w:abstractNumId="16" w15:restartNumberingAfterBreak="0">
    <w:nsid w:val="526C2DA9"/>
    <w:multiLevelType w:val="hybridMultilevel"/>
    <w:tmpl w:val="D3ACE8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34378F4"/>
    <w:multiLevelType w:val="multilevel"/>
    <w:tmpl w:val="1286D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083943"/>
    <w:multiLevelType w:val="multilevel"/>
    <w:tmpl w:val="FFFAA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2959ED"/>
    <w:multiLevelType w:val="multilevel"/>
    <w:tmpl w:val="1EB68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ED1D8F"/>
    <w:multiLevelType w:val="hybridMultilevel"/>
    <w:tmpl w:val="9CDC3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F3764F1"/>
    <w:multiLevelType w:val="hybridMultilevel"/>
    <w:tmpl w:val="55C02C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F8F10B7"/>
    <w:multiLevelType w:val="multilevel"/>
    <w:tmpl w:val="CAD4C068"/>
    <w:lvl w:ilvl="0">
      <w:start w:val="1"/>
      <w:numFmt w:val="decimal"/>
      <w:lvlText w:val="%1."/>
      <w:lvlJc w:val="left"/>
      <w:pPr>
        <w:ind w:left="720" w:hanging="360"/>
      </w:pPr>
      <w:rPr>
        <w:rFonts w:ascii="Times New Roman" w:eastAsia="Times New Roman" w:hAnsi="Times New Roman" w:cs="Times New Roman"/>
      </w:rPr>
    </w:lvl>
    <w:lvl w:ilvl="1">
      <w:start w:val="3"/>
      <w:numFmt w:val="decimal"/>
      <w:isLgl/>
      <w:lvlText w:val="%1.%2"/>
      <w:lvlJc w:val="left"/>
      <w:pPr>
        <w:ind w:left="1087" w:hanging="624"/>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3" w15:restartNumberingAfterBreak="0">
    <w:nsid w:val="70DC6C65"/>
    <w:multiLevelType w:val="multilevel"/>
    <w:tmpl w:val="19E60E54"/>
    <w:lvl w:ilvl="0">
      <w:start w:val="1"/>
      <w:numFmt w:val="decimal"/>
      <w:lvlText w:val="%1)"/>
      <w:lvlJc w:val="left"/>
      <w:pPr>
        <w:tabs>
          <w:tab w:val="num" w:pos="720"/>
        </w:tabs>
        <w:ind w:left="720" w:hanging="360"/>
      </w:pPr>
      <w:rPr>
        <w:rFonts w:hint="default"/>
        <w:spacing w:val="0"/>
        <w:kern w:val="0"/>
        <w:sz w:val="28"/>
        <w:szCs w:val="28"/>
        <w14:stylisticSets>
          <w14:styleSet w14:id="1"/>
        </w14:stylisticSets>
      </w:rPr>
    </w:lvl>
    <w:lvl w:ilvl="1">
      <w:start w:val="1"/>
      <w:numFmt w:val="decimal"/>
      <w:lvlText w:val="%2."/>
      <w:lvlJc w:val="left"/>
      <w:pPr>
        <w:ind w:left="1440" w:hanging="360"/>
      </w:pPr>
      <w:rPr>
        <w:rFonts w:ascii="Times New Roman" w:eastAsia="Times New Roman" w:hAnsi="Times New Roman"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D53BC8"/>
    <w:multiLevelType w:val="multilevel"/>
    <w:tmpl w:val="6428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601567"/>
    <w:multiLevelType w:val="multilevel"/>
    <w:tmpl w:val="8F82F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DB1EFE"/>
    <w:multiLevelType w:val="hybridMultilevel"/>
    <w:tmpl w:val="6A687A14"/>
    <w:lvl w:ilvl="0" w:tplc="EF0E6B0C">
      <w:start w:val="1"/>
      <w:numFmt w:val="decimal"/>
      <w:lvlText w:val="%1."/>
      <w:lvlJc w:val="left"/>
      <w:pPr>
        <w:ind w:left="2" w:hanging="213"/>
      </w:pPr>
      <w:rPr>
        <w:rFonts w:ascii="Times New Roman" w:eastAsia="Times New Roman" w:hAnsi="Times New Roman" w:cs="Times New Roman" w:hint="default"/>
        <w:b w:val="0"/>
        <w:bCs w:val="0"/>
        <w:i w:val="0"/>
        <w:iCs w:val="0"/>
        <w:spacing w:val="-1"/>
        <w:w w:val="98"/>
        <w:sz w:val="26"/>
        <w:szCs w:val="26"/>
        <w:lang w:val="ru-RU" w:eastAsia="en-US" w:bidi="ar-SA"/>
      </w:rPr>
    </w:lvl>
    <w:lvl w:ilvl="1" w:tplc="4642DB8A">
      <w:numFmt w:val="bullet"/>
      <w:lvlText w:val="•"/>
      <w:lvlJc w:val="left"/>
      <w:pPr>
        <w:ind w:left="949" w:hanging="213"/>
      </w:pPr>
      <w:rPr>
        <w:rFonts w:hint="default"/>
        <w:lang w:val="ru-RU" w:eastAsia="en-US" w:bidi="ar-SA"/>
      </w:rPr>
    </w:lvl>
    <w:lvl w:ilvl="2" w:tplc="E1FC2500">
      <w:numFmt w:val="bullet"/>
      <w:lvlText w:val="•"/>
      <w:lvlJc w:val="left"/>
      <w:pPr>
        <w:ind w:left="1898" w:hanging="213"/>
      </w:pPr>
      <w:rPr>
        <w:rFonts w:hint="default"/>
        <w:lang w:val="ru-RU" w:eastAsia="en-US" w:bidi="ar-SA"/>
      </w:rPr>
    </w:lvl>
    <w:lvl w:ilvl="3" w:tplc="DA940A92">
      <w:numFmt w:val="bullet"/>
      <w:lvlText w:val="•"/>
      <w:lvlJc w:val="left"/>
      <w:pPr>
        <w:ind w:left="2847" w:hanging="213"/>
      </w:pPr>
      <w:rPr>
        <w:rFonts w:hint="default"/>
        <w:lang w:val="ru-RU" w:eastAsia="en-US" w:bidi="ar-SA"/>
      </w:rPr>
    </w:lvl>
    <w:lvl w:ilvl="4" w:tplc="EB56E6DA">
      <w:numFmt w:val="bullet"/>
      <w:lvlText w:val="•"/>
      <w:lvlJc w:val="left"/>
      <w:pPr>
        <w:ind w:left="3796" w:hanging="213"/>
      </w:pPr>
      <w:rPr>
        <w:rFonts w:hint="default"/>
        <w:lang w:val="ru-RU" w:eastAsia="en-US" w:bidi="ar-SA"/>
      </w:rPr>
    </w:lvl>
    <w:lvl w:ilvl="5" w:tplc="EA9279EA">
      <w:numFmt w:val="bullet"/>
      <w:lvlText w:val="•"/>
      <w:lvlJc w:val="left"/>
      <w:pPr>
        <w:ind w:left="4745" w:hanging="213"/>
      </w:pPr>
      <w:rPr>
        <w:rFonts w:hint="default"/>
        <w:lang w:val="ru-RU" w:eastAsia="en-US" w:bidi="ar-SA"/>
      </w:rPr>
    </w:lvl>
    <w:lvl w:ilvl="6" w:tplc="ABCE8FB8">
      <w:numFmt w:val="bullet"/>
      <w:lvlText w:val="•"/>
      <w:lvlJc w:val="left"/>
      <w:pPr>
        <w:ind w:left="5694" w:hanging="213"/>
      </w:pPr>
      <w:rPr>
        <w:rFonts w:hint="default"/>
        <w:lang w:val="ru-RU" w:eastAsia="en-US" w:bidi="ar-SA"/>
      </w:rPr>
    </w:lvl>
    <w:lvl w:ilvl="7" w:tplc="2E7CDAC4">
      <w:numFmt w:val="bullet"/>
      <w:lvlText w:val="•"/>
      <w:lvlJc w:val="left"/>
      <w:pPr>
        <w:ind w:left="6643" w:hanging="213"/>
      </w:pPr>
      <w:rPr>
        <w:rFonts w:hint="default"/>
        <w:lang w:val="ru-RU" w:eastAsia="en-US" w:bidi="ar-SA"/>
      </w:rPr>
    </w:lvl>
    <w:lvl w:ilvl="8" w:tplc="16483D14">
      <w:numFmt w:val="bullet"/>
      <w:lvlText w:val="•"/>
      <w:lvlJc w:val="left"/>
      <w:pPr>
        <w:ind w:left="7592" w:hanging="213"/>
      </w:pPr>
      <w:rPr>
        <w:rFonts w:hint="default"/>
        <w:lang w:val="ru-RU" w:eastAsia="en-US" w:bidi="ar-SA"/>
      </w:rPr>
    </w:lvl>
  </w:abstractNum>
  <w:abstractNum w:abstractNumId="27" w15:restartNumberingAfterBreak="0">
    <w:nsid w:val="7EB37C7D"/>
    <w:multiLevelType w:val="hybridMultilevel"/>
    <w:tmpl w:val="2AE02010"/>
    <w:lvl w:ilvl="0" w:tplc="918ABE0C">
      <w:start w:val="1"/>
      <w:numFmt w:val="decimal"/>
      <w:lvlText w:val="%1."/>
      <w:lvlJc w:val="left"/>
      <w:pPr>
        <w:ind w:left="2"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5AA02B84">
      <w:numFmt w:val="bullet"/>
      <w:lvlText w:val="•"/>
      <w:lvlJc w:val="left"/>
      <w:pPr>
        <w:ind w:left="949" w:hanging="425"/>
      </w:pPr>
      <w:rPr>
        <w:rFonts w:hint="default"/>
        <w:lang w:val="ru-RU" w:eastAsia="en-US" w:bidi="ar-SA"/>
      </w:rPr>
    </w:lvl>
    <w:lvl w:ilvl="2" w:tplc="DA2660FA">
      <w:numFmt w:val="bullet"/>
      <w:lvlText w:val="•"/>
      <w:lvlJc w:val="left"/>
      <w:pPr>
        <w:ind w:left="1898" w:hanging="425"/>
      </w:pPr>
      <w:rPr>
        <w:rFonts w:hint="default"/>
        <w:lang w:val="ru-RU" w:eastAsia="en-US" w:bidi="ar-SA"/>
      </w:rPr>
    </w:lvl>
    <w:lvl w:ilvl="3" w:tplc="BB622FE2">
      <w:numFmt w:val="bullet"/>
      <w:lvlText w:val="•"/>
      <w:lvlJc w:val="left"/>
      <w:pPr>
        <w:ind w:left="2847" w:hanging="425"/>
      </w:pPr>
      <w:rPr>
        <w:rFonts w:hint="default"/>
        <w:lang w:val="ru-RU" w:eastAsia="en-US" w:bidi="ar-SA"/>
      </w:rPr>
    </w:lvl>
    <w:lvl w:ilvl="4" w:tplc="52BEAC4C">
      <w:numFmt w:val="bullet"/>
      <w:lvlText w:val="•"/>
      <w:lvlJc w:val="left"/>
      <w:pPr>
        <w:ind w:left="3796" w:hanging="425"/>
      </w:pPr>
      <w:rPr>
        <w:rFonts w:hint="default"/>
        <w:lang w:val="ru-RU" w:eastAsia="en-US" w:bidi="ar-SA"/>
      </w:rPr>
    </w:lvl>
    <w:lvl w:ilvl="5" w:tplc="4E768338">
      <w:numFmt w:val="bullet"/>
      <w:lvlText w:val="•"/>
      <w:lvlJc w:val="left"/>
      <w:pPr>
        <w:ind w:left="4745" w:hanging="425"/>
      </w:pPr>
      <w:rPr>
        <w:rFonts w:hint="default"/>
        <w:lang w:val="ru-RU" w:eastAsia="en-US" w:bidi="ar-SA"/>
      </w:rPr>
    </w:lvl>
    <w:lvl w:ilvl="6" w:tplc="999689E6">
      <w:numFmt w:val="bullet"/>
      <w:lvlText w:val="•"/>
      <w:lvlJc w:val="left"/>
      <w:pPr>
        <w:ind w:left="5694" w:hanging="425"/>
      </w:pPr>
      <w:rPr>
        <w:rFonts w:hint="default"/>
        <w:lang w:val="ru-RU" w:eastAsia="en-US" w:bidi="ar-SA"/>
      </w:rPr>
    </w:lvl>
    <w:lvl w:ilvl="7" w:tplc="D70C8536">
      <w:numFmt w:val="bullet"/>
      <w:lvlText w:val="•"/>
      <w:lvlJc w:val="left"/>
      <w:pPr>
        <w:ind w:left="6643" w:hanging="425"/>
      </w:pPr>
      <w:rPr>
        <w:rFonts w:hint="default"/>
        <w:lang w:val="ru-RU" w:eastAsia="en-US" w:bidi="ar-SA"/>
      </w:rPr>
    </w:lvl>
    <w:lvl w:ilvl="8" w:tplc="D76A9322">
      <w:numFmt w:val="bullet"/>
      <w:lvlText w:val="•"/>
      <w:lvlJc w:val="left"/>
      <w:pPr>
        <w:ind w:left="7592" w:hanging="425"/>
      </w:pPr>
      <w:rPr>
        <w:rFonts w:hint="default"/>
        <w:lang w:val="ru-RU" w:eastAsia="en-US" w:bidi="ar-SA"/>
      </w:rPr>
    </w:lvl>
  </w:abstractNum>
  <w:abstractNum w:abstractNumId="28" w15:restartNumberingAfterBreak="0">
    <w:nsid w:val="7F007758"/>
    <w:multiLevelType w:val="multilevel"/>
    <w:tmpl w:val="5824F548"/>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323" w:hanging="756"/>
      </w:pPr>
      <w:rPr>
        <w:rFonts w:hint="default"/>
      </w:rPr>
    </w:lvl>
    <w:lvl w:ilvl="2">
      <w:start w:val="1"/>
      <w:numFmt w:val="decimal"/>
      <w:isLgl/>
      <w:lvlText w:val="%1.%2.%3."/>
      <w:lvlJc w:val="left"/>
      <w:pPr>
        <w:ind w:left="1530" w:hanging="756"/>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9" w15:restartNumberingAfterBreak="0">
    <w:nsid w:val="7FF814F3"/>
    <w:multiLevelType w:val="multilevel"/>
    <w:tmpl w:val="C736F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7"/>
  </w:num>
  <w:num w:numId="3">
    <w:abstractNumId w:val="15"/>
  </w:num>
  <w:num w:numId="4">
    <w:abstractNumId w:val="27"/>
  </w:num>
  <w:num w:numId="5">
    <w:abstractNumId w:val="26"/>
  </w:num>
  <w:num w:numId="6">
    <w:abstractNumId w:val="2"/>
  </w:num>
  <w:num w:numId="7">
    <w:abstractNumId w:val="23"/>
  </w:num>
  <w:num w:numId="8">
    <w:abstractNumId w:val="3"/>
  </w:num>
  <w:num w:numId="9">
    <w:abstractNumId w:val="28"/>
  </w:num>
  <w:num w:numId="10">
    <w:abstractNumId w:val="22"/>
  </w:num>
  <w:num w:numId="11">
    <w:abstractNumId w:val="9"/>
  </w:num>
  <w:num w:numId="12">
    <w:abstractNumId w:val="29"/>
  </w:num>
  <w:num w:numId="13">
    <w:abstractNumId w:val="24"/>
  </w:num>
  <w:num w:numId="14">
    <w:abstractNumId w:val="1"/>
  </w:num>
  <w:num w:numId="15">
    <w:abstractNumId w:val="21"/>
  </w:num>
  <w:num w:numId="16">
    <w:abstractNumId w:val="20"/>
  </w:num>
  <w:num w:numId="17">
    <w:abstractNumId w:val="12"/>
  </w:num>
  <w:num w:numId="18">
    <w:abstractNumId w:val="16"/>
  </w:num>
  <w:num w:numId="19">
    <w:abstractNumId w:val="18"/>
  </w:num>
  <w:num w:numId="20">
    <w:abstractNumId w:val="19"/>
  </w:num>
  <w:num w:numId="21">
    <w:abstractNumId w:val="6"/>
  </w:num>
  <w:num w:numId="22">
    <w:abstractNumId w:val="13"/>
  </w:num>
  <w:num w:numId="23">
    <w:abstractNumId w:val="10"/>
  </w:num>
  <w:num w:numId="24">
    <w:abstractNumId w:val="25"/>
  </w:num>
  <w:num w:numId="25">
    <w:abstractNumId w:val="17"/>
  </w:num>
  <w:num w:numId="26">
    <w:abstractNumId w:val="8"/>
  </w:num>
  <w:num w:numId="27">
    <w:abstractNumId w:val="11"/>
  </w:num>
  <w:num w:numId="28">
    <w:abstractNumId w:val="5"/>
  </w:num>
  <w:num w:numId="29">
    <w:abstractNumId w:val="0"/>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649"/>
    <w:rsid w:val="00012B6D"/>
    <w:rsid w:val="00057393"/>
    <w:rsid w:val="00082292"/>
    <w:rsid w:val="000B41FC"/>
    <w:rsid w:val="000D4809"/>
    <w:rsid w:val="001763C1"/>
    <w:rsid w:val="00183DDC"/>
    <w:rsid w:val="002541B3"/>
    <w:rsid w:val="002566D9"/>
    <w:rsid w:val="00257A9A"/>
    <w:rsid w:val="002634E2"/>
    <w:rsid w:val="002814D8"/>
    <w:rsid w:val="002D785A"/>
    <w:rsid w:val="002E7313"/>
    <w:rsid w:val="00301FBC"/>
    <w:rsid w:val="00311F26"/>
    <w:rsid w:val="003858D5"/>
    <w:rsid w:val="003A07AD"/>
    <w:rsid w:val="003F0584"/>
    <w:rsid w:val="004343D6"/>
    <w:rsid w:val="00497127"/>
    <w:rsid w:val="005B2A2F"/>
    <w:rsid w:val="00624199"/>
    <w:rsid w:val="006370FC"/>
    <w:rsid w:val="0065322A"/>
    <w:rsid w:val="00677E4A"/>
    <w:rsid w:val="0068186B"/>
    <w:rsid w:val="00794FDA"/>
    <w:rsid w:val="00887E69"/>
    <w:rsid w:val="00893050"/>
    <w:rsid w:val="009B07B8"/>
    <w:rsid w:val="00A07018"/>
    <w:rsid w:val="00A6780C"/>
    <w:rsid w:val="00AA35EB"/>
    <w:rsid w:val="00AD6C50"/>
    <w:rsid w:val="00B411B0"/>
    <w:rsid w:val="00CD34C8"/>
    <w:rsid w:val="00DA6AC7"/>
    <w:rsid w:val="00E20649"/>
    <w:rsid w:val="00E3354B"/>
    <w:rsid w:val="00E64D11"/>
    <w:rsid w:val="00F44051"/>
    <w:rsid w:val="00F5178E"/>
    <w:rsid w:val="00F643B3"/>
    <w:rsid w:val="00F672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5F9118-8B12-4FD9-BF17-D312BCA66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710"/>
      <w:outlineLvl w:val="0"/>
    </w:pPr>
    <w:rPr>
      <w:b/>
      <w:bCs/>
      <w:sz w:val="28"/>
      <w:szCs w:val="28"/>
    </w:rPr>
  </w:style>
  <w:style w:type="paragraph" w:styleId="2">
    <w:name w:val="heading 2"/>
    <w:basedOn w:val="a"/>
    <w:next w:val="a"/>
    <w:link w:val="20"/>
    <w:uiPriority w:val="9"/>
    <w:semiHidden/>
    <w:unhideWhenUsed/>
    <w:qFormat/>
    <w:rsid w:val="002541B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2541B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jc w:val="both"/>
    </w:pPr>
    <w:rPr>
      <w:sz w:val="28"/>
      <w:szCs w:val="28"/>
    </w:rPr>
  </w:style>
  <w:style w:type="paragraph" w:styleId="a4">
    <w:name w:val="List Paragraph"/>
    <w:basedOn w:val="a"/>
    <w:uiPriority w:val="1"/>
    <w:qFormat/>
    <w:pPr>
      <w:ind w:left="721" w:right="134" w:hanging="360"/>
      <w:jc w:val="both"/>
    </w:pPr>
  </w:style>
  <w:style w:type="paragraph" w:customStyle="1" w:styleId="TableParagraph">
    <w:name w:val="Table Paragraph"/>
    <w:basedOn w:val="a"/>
    <w:uiPriority w:val="1"/>
    <w:qFormat/>
  </w:style>
  <w:style w:type="paragraph" w:styleId="a5">
    <w:name w:val="Normal (Web)"/>
    <w:basedOn w:val="a"/>
    <w:uiPriority w:val="99"/>
    <w:unhideWhenUsed/>
    <w:rsid w:val="000D4809"/>
    <w:pPr>
      <w:widowControl/>
      <w:autoSpaceDE/>
      <w:autoSpaceDN/>
      <w:spacing w:before="100" w:beforeAutospacing="1" w:after="100" w:afterAutospacing="1"/>
    </w:pPr>
    <w:rPr>
      <w:sz w:val="24"/>
      <w:szCs w:val="24"/>
      <w:lang w:eastAsia="ru-RU"/>
    </w:rPr>
  </w:style>
  <w:style w:type="character" w:styleId="a6">
    <w:name w:val="Hyperlink"/>
    <w:basedOn w:val="a0"/>
    <w:uiPriority w:val="99"/>
    <w:unhideWhenUsed/>
    <w:rsid w:val="003858D5"/>
    <w:rPr>
      <w:color w:val="0000FF" w:themeColor="hyperlink"/>
      <w:u w:val="single"/>
    </w:rPr>
  </w:style>
  <w:style w:type="character" w:styleId="a7">
    <w:name w:val="Unresolved Mention"/>
    <w:basedOn w:val="a0"/>
    <w:uiPriority w:val="99"/>
    <w:semiHidden/>
    <w:unhideWhenUsed/>
    <w:rsid w:val="003858D5"/>
    <w:rPr>
      <w:color w:val="605E5C"/>
      <w:shd w:val="clear" w:color="auto" w:fill="E1DFDD"/>
    </w:rPr>
  </w:style>
  <w:style w:type="character" w:customStyle="1" w:styleId="20">
    <w:name w:val="Заголовок 2 Знак"/>
    <w:basedOn w:val="a0"/>
    <w:link w:val="2"/>
    <w:uiPriority w:val="9"/>
    <w:semiHidden/>
    <w:rsid w:val="002541B3"/>
    <w:rPr>
      <w:rFonts w:asciiTheme="majorHAnsi" w:eastAsiaTheme="majorEastAsia" w:hAnsiTheme="majorHAnsi" w:cstheme="majorBidi"/>
      <w:color w:val="365F91" w:themeColor="accent1" w:themeShade="BF"/>
      <w:sz w:val="26"/>
      <w:szCs w:val="26"/>
      <w:lang w:val="ru-RU"/>
    </w:rPr>
  </w:style>
  <w:style w:type="character" w:customStyle="1" w:styleId="30">
    <w:name w:val="Заголовок 3 Знак"/>
    <w:basedOn w:val="a0"/>
    <w:link w:val="3"/>
    <w:uiPriority w:val="9"/>
    <w:semiHidden/>
    <w:rsid w:val="002541B3"/>
    <w:rPr>
      <w:rFonts w:asciiTheme="majorHAnsi" w:eastAsiaTheme="majorEastAsia" w:hAnsiTheme="majorHAnsi" w:cstheme="majorBidi"/>
      <w:color w:val="243F60" w:themeColor="accent1" w:themeShade="7F"/>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960661">
      <w:bodyDiv w:val="1"/>
      <w:marLeft w:val="0"/>
      <w:marRight w:val="0"/>
      <w:marTop w:val="0"/>
      <w:marBottom w:val="0"/>
      <w:divBdr>
        <w:top w:val="none" w:sz="0" w:space="0" w:color="auto"/>
        <w:left w:val="none" w:sz="0" w:space="0" w:color="auto"/>
        <w:bottom w:val="none" w:sz="0" w:space="0" w:color="auto"/>
        <w:right w:val="none" w:sz="0" w:space="0" w:color="auto"/>
      </w:divBdr>
    </w:div>
    <w:div w:id="404452641">
      <w:bodyDiv w:val="1"/>
      <w:marLeft w:val="0"/>
      <w:marRight w:val="0"/>
      <w:marTop w:val="0"/>
      <w:marBottom w:val="0"/>
      <w:divBdr>
        <w:top w:val="none" w:sz="0" w:space="0" w:color="auto"/>
        <w:left w:val="none" w:sz="0" w:space="0" w:color="auto"/>
        <w:bottom w:val="none" w:sz="0" w:space="0" w:color="auto"/>
        <w:right w:val="none" w:sz="0" w:space="0" w:color="auto"/>
      </w:divBdr>
    </w:div>
    <w:div w:id="494415641">
      <w:bodyDiv w:val="1"/>
      <w:marLeft w:val="0"/>
      <w:marRight w:val="0"/>
      <w:marTop w:val="0"/>
      <w:marBottom w:val="0"/>
      <w:divBdr>
        <w:top w:val="none" w:sz="0" w:space="0" w:color="auto"/>
        <w:left w:val="none" w:sz="0" w:space="0" w:color="auto"/>
        <w:bottom w:val="none" w:sz="0" w:space="0" w:color="auto"/>
        <w:right w:val="none" w:sz="0" w:space="0" w:color="auto"/>
      </w:divBdr>
    </w:div>
    <w:div w:id="507406491">
      <w:bodyDiv w:val="1"/>
      <w:marLeft w:val="0"/>
      <w:marRight w:val="0"/>
      <w:marTop w:val="0"/>
      <w:marBottom w:val="0"/>
      <w:divBdr>
        <w:top w:val="none" w:sz="0" w:space="0" w:color="auto"/>
        <w:left w:val="none" w:sz="0" w:space="0" w:color="auto"/>
        <w:bottom w:val="none" w:sz="0" w:space="0" w:color="auto"/>
        <w:right w:val="none" w:sz="0" w:space="0" w:color="auto"/>
      </w:divBdr>
    </w:div>
    <w:div w:id="532420874">
      <w:bodyDiv w:val="1"/>
      <w:marLeft w:val="0"/>
      <w:marRight w:val="0"/>
      <w:marTop w:val="0"/>
      <w:marBottom w:val="0"/>
      <w:divBdr>
        <w:top w:val="none" w:sz="0" w:space="0" w:color="auto"/>
        <w:left w:val="none" w:sz="0" w:space="0" w:color="auto"/>
        <w:bottom w:val="none" w:sz="0" w:space="0" w:color="auto"/>
        <w:right w:val="none" w:sz="0" w:space="0" w:color="auto"/>
      </w:divBdr>
    </w:div>
    <w:div w:id="632517703">
      <w:bodyDiv w:val="1"/>
      <w:marLeft w:val="0"/>
      <w:marRight w:val="0"/>
      <w:marTop w:val="0"/>
      <w:marBottom w:val="0"/>
      <w:divBdr>
        <w:top w:val="none" w:sz="0" w:space="0" w:color="auto"/>
        <w:left w:val="none" w:sz="0" w:space="0" w:color="auto"/>
        <w:bottom w:val="none" w:sz="0" w:space="0" w:color="auto"/>
        <w:right w:val="none" w:sz="0" w:space="0" w:color="auto"/>
      </w:divBdr>
    </w:div>
    <w:div w:id="707143869">
      <w:bodyDiv w:val="1"/>
      <w:marLeft w:val="0"/>
      <w:marRight w:val="0"/>
      <w:marTop w:val="0"/>
      <w:marBottom w:val="0"/>
      <w:divBdr>
        <w:top w:val="none" w:sz="0" w:space="0" w:color="auto"/>
        <w:left w:val="none" w:sz="0" w:space="0" w:color="auto"/>
        <w:bottom w:val="none" w:sz="0" w:space="0" w:color="auto"/>
        <w:right w:val="none" w:sz="0" w:space="0" w:color="auto"/>
      </w:divBdr>
    </w:div>
    <w:div w:id="930429450">
      <w:bodyDiv w:val="1"/>
      <w:marLeft w:val="0"/>
      <w:marRight w:val="0"/>
      <w:marTop w:val="0"/>
      <w:marBottom w:val="0"/>
      <w:divBdr>
        <w:top w:val="none" w:sz="0" w:space="0" w:color="auto"/>
        <w:left w:val="none" w:sz="0" w:space="0" w:color="auto"/>
        <w:bottom w:val="none" w:sz="0" w:space="0" w:color="auto"/>
        <w:right w:val="none" w:sz="0" w:space="0" w:color="auto"/>
      </w:divBdr>
    </w:div>
    <w:div w:id="953637320">
      <w:bodyDiv w:val="1"/>
      <w:marLeft w:val="0"/>
      <w:marRight w:val="0"/>
      <w:marTop w:val="0"/>
      <w:marBottom w:val="0"/>
      <w:divBdr>
        <w:top w:val="none" w:sz="0" w:space="0" w:color="auto"/>
        <w:left w:val="none" w:sz="0" w:space="0" w:color="auto"/>
        <w:bottom w:val="none" w:sz="0" w:space="0" w:color="auto"/>
        <w:right w:val="none" w:sz="0" w:space="0" w:color="auto"/>
      </w:divBdr>
    </w:div>
    <w:div w:id="1255896834">
      <w:bodyDiv w:val="1"/>
      <w:marLeft w:val="0"/>
      <w:marRight w:val="0"/>
      <w:marTop w:val="0"/>
      <w:marBottom w:val="0"/>
      <w:divBdr>
        <w:top w:val="none" w:sz="0" w:space="0" w:color="auto"/>
        <w:left w:val="none" w:sz="0" w:space="0" w:color="auto"/>
        <w:bottom w:val="none" w:sz="0" w:space="0" w:color="auto"/>
        <w:right w:val="none" w:sz="0" w:space="0" w:color="auto"/>
      </w:divBdr>
    </w:div>
    <w:div w:id="1375541687">
      <w:bodyDiv w:val="1"/>
      <w:marLeft w:val="0"/>
      <w:marRight w:val="0"/>
      <w:marTop w:val="0"/>
      <w:marBottom w:val="0"/>
      <w:divBdr>
        <w:top w:val="none" w:sz="0" w:space="0" w:color="auto"/>
        <w:left w:val="none" w:sz="0" w:space="0" w:color="auto"/>
        <w:bottom w:val="none" w:sz="0" w:space="0" w:color="auto"/>
        <w:right w:val="none" w:sz="0" w:space="0" w:color="auto"/>
      </w:divBdr>
    </w:div>
    <w:div w:id="1599672858">
      <w:bodyDiv w:val="1"/>
      <w:marLeft w:val="0"/>
      <w:marRight w:val="0"/>
      <w:marTop w:val="0"/>
      <w:marBottom w:val="0"/>
      <w:divBdr>
        <w:top w:val="none" w:sz="0" w:space="0" w:color="auto"/>
        <w:left w:val="none" w:sz="0" w:space="0" w:color="auto"/>
        <w:bottom w:val="none" w:sz="0" w:space="0" w:color="auto"/>
        <w:right w:val="none" w:sz="0" w:space="0" w:color="auto"/>
      </w:divBdr>
    </w:div>
    <w:div w:id="1616446689">
      <w:bodyDiv w:val="1"/>
      <w:marLeft w:val="0"/>
      <w:marRight w:val="0"/>
      <w:marTop w:val="0"/>
      <w:marBottom w:val="0"/>
      <w:divBdr>
        <w:top w:val="none" w:sz="0" w:space="0" w:color="auto"/>
        <w:left w:val="none" w:sz="0" w:space="0" w:color="auto"/>
        <w:bottom w:val="none" w:sz="0" w:space="0" w:color="auto"/>
        <w:right w:val="none" w:sz="0" w:space="0" w:color="auto"/>
      </w:divBdr>
    </w:div>
    <w:div w:id="1685402893">
      <w:bodyDiv w:val="1"/>
      <w:marLeft w:val="0"/>
      <w:marRight w:val="0"/>
      <w:marTop w:val="0"/>
      <w:marBottom w:val="0"/>
      <w:divBdr>
        <w:top w:val="none" w:sz="0" w:space="0" w:color="auto"/>
        <w:left w:val="none" w:sz="0" w:space="0" w:color="auto"/>
        <w:bottom w:val="none" w:sz="0" w:space="0" w:color="auto"/>
        <w:right w:val="none" w:sz="0" w:space="0" w:color="auto"/>
      </w:divBdr>
    </w:div>
    <w:div w:id="1724327433">
      <w:bodyDiv w:val="1"/>
      <w:marLeft w:val="0"/>
      <w:marRight w:val="0"/>
      <w:marTop w:val="0"/>
      <w:marBottom w:val="0"/>
      <w:divBdr>
        <w:top w:val="none" w:sz="0" w:space="0" w:color="auto"/>
        <w:left w:val="none" w:sz="0" w:space="0" w:color="auto"/>
        <w:bottom w:val="none" w:sz="0" w:space="0" w:color="auto"/>
        <w:right w:val="none" w:sz="0" w:space="0" w:color="auto"/>
      </w:divBdr>
    </w:div>
    <w:div w:id="1740636817">
      <w:bodyDiv w:val="1"/>
      <w:marLeft w:val="0"/>
      <w:marRight w:val="0"/>
      <w:marTop w:val="0"/>
      <w:marBottom w:val="0"/>
      <w:divBdr>
        <w:top w:val="none" w:sz="0" w:space="0" w:color="auto"/>
        <w:left w:val="none" w:sz="0" w:space="0" w:color="auto"/>
        <w:bottom w:val="none" w:sz="0" w:space="0" w:color="auto"/>
        <w:right w:val="none" w:sz="0" w:space="0" w:color="auto"/>
      </w:divBdr>
    </w:div>
    <w:div w:id="1877815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TotalTime>
  <Pages>12</Pages>
  <Words>4538</Words>
  <Characters>25873</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Тургунов Ермек</dc:creator>
  <cp:lastModifiedBy>User</cp:lastModifiedBy>
  <cp:revision>33</cp:revision>
  <dcterms:created xsi:type="dcterms:W3CDTF">2026-02-22T05:07:00Z</dcterms:created>
  <dcterms:modified xsi:type="dcterms:W3CDTF">2026-02-25T06:30:00Z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2025-10-07T00:00:00Z</vt:filetime>
  </property>
  <property fmtid="{D5CDD505-2E9C-101B-9397-08002B2CF9AE}" pid="3" name="Creator">
    <vt:lpwstr>Microsoft® Word 2016</vt:lpwstr>
  </property>
  <property fmtid="{D5CDD505-2E9C-101B-9397-08002B2CF9AE}" pid="4" name="LastSaved">
    <vt:filetime>2026-02-22T00:00:00Z</vt:filetime>
  </property>
  <property fmtid="{D5CDD505-2E9C-101B-9397-08002B2CF9AE}" pid="5" name="Producer">
    <vt:lpwstr>www.ilovepdf.com</vt:lpwstr>
  </property>
</Properties>
</file>